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Klapstein Julie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OMADA HEALTH,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 GATEWAY BLVD.,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Omada Health, Inc.</w:t>
              </w:r>
            </w:hyperlink>
            <w:r>
              <w:rPr/>
              <w:t xml:space="preserve"> [ </w:t>
            </w:r>
            <w:r>
              <w:rPr>
                <w:rFonts w:ascii="Times;serif" w:hAnsi="Times;serif"/>
                <w:color w:val="0000FF"/>
                <w:sz w:val="24"/>
                <w:shd w:fill="FFFFFF" w:val="clear"/>
              </w:rPr>
              <w:t>OMDA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549</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22,514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were granted pursuant to the Issuer's Non-Employee Director Compensation Program (the "Program") in lieu of retainer fees. Each RSU represents the right to receive one (1) share of Common Stock, with settlement to take place either (i) on a date selected by the Reporting Person pursuant to the Program or (ii) as otherwise provided by the Program.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Salha, as Attorney-in-Fact for Julie D. Klapstein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8668" TargetMode="External"/><Relationship Id="rId5" Type="http://schemas.openxmlformats.org/officeDocument/2006/relationships/hyperlink" Target="http://www.sec.gov/cgi-bin/browse-edgar?action=getcompany&amp;CIK=0001611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3435</Characters>
  <CharactersWithSpaces>4004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