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Commission file number: 001-42679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tbl>
      <w:tblPr>
        <w:tblW w:w="4948" w:type="dxa"/>
        <w:jc w:val="center"/>
        <w:tblInd w:w="0" w:type="dxa"/>
        <w:tblLayout w:type="fixed"/>
        <w:tblCellMar>
          <w:top w:w="28" w:type="dxa"/>
          <w:left w:w="28" w:type="dxa"/>
          <w:bottom w:w="28" w:type="dxa"/>
          <w:right w:w="28" w:type="dxa"/>
        </w:tblCellMar>
      </w:tblPr>
      <w:tblGrid>
        <w:gridCol w:w="1193"/>
        <w:gridCol w:w="1047"/>
        <w:gridCol w:w="1059"/>
        <w:gridCol w:w="481"/>
        <w:gridCol w:w="481"/>
        <w:gridCol w:w="687"/>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45-2355015</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611 Gateway Blvd, Suite 120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94080</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(888) 987-8337</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94" w:type="dxa"/>
        <w:jc w:val="left"/>
        <w:tblInd w:w="0" w:type="dxa"/>
        <w:tblLayout w:type="fixed"/>
        <w:tblCellMar>
          <w:top w:w="28" w:type="dxa"/>
          <w:left w:w="28" w:type="dxa"/>
          <w:bottom w:w="28" w:type="dxa"/>
          <w:right w:w="28" w:type="dxa"/>
        </w:tblCellMar>
      </w:tblPr>
      <w:tblGrid>
        <w:gridCol w:w="1293"/>
        <w:gridCol w:w="1132"/>
        <w:gridCol w:w="1145"/>
        <w:gridCol w:w="539"/>
        <w:gridCol w:w="539"/>
        <w:gridCol w:w="541"/>
        <w:gridCol w:w="1085"/>
        <w:gridCol w:w="1085"/>
        <w:gridCol w:w="1535"/>
      </w:tblGrid>
      <w:tr>
        <w:trPr/>
        <w:tc>
          <w:tcPr>
            <w:tcW w:w="129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5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OMDA</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2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12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12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w:t>
      </w:r>
    </w:p>
    <w:p>
      <w:pPr>
        <w:pStyle w:val="TextBody"/>
        <w:bidi w:val="0"/>
        <w:spacing w:lineRule="auto" w:line="288" w:before="0" w:after="12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The registrant had 59,448,507 shares of common stock, $0.001 par value per share, outstanding as of May 5, 2026.</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036" w:type="dxa"/>
        <w:jc w:val="left"/>
        <w:tblInd w:w="0" w:type="dxa"/>
        <w:tblLayout w:type="fixed"/>
        <w:tblCellMar>
          <w:top w:w="28" w:type="dxa"/>
          <w:left w:w="28" w:type="dxa"/>
          <w:bottom w:w="28" w:type="dxa"/>
          <w:right w:w="28" w:type="dxa"/>
        </w:tblCellMar>
      </w:tblPr>
      <w:tblGrid>
        <w:gridCol w:w="3425"/>
        <w:gridCol w:w="3012"/>
        <w:gridCol w:w="3028"/>
        <w:gridCol w:w="167"/>
        <w:gridCol w:w="167"/>
        <w:gridCol w:w="237"/>
      </w:tblGrid>
      <w:tr>
        <w:trPr/>
        <w:tc>
          <w:tcPr>
            <w:tcW w:w="3425" w:type="dxa"/>
            <w:tcBorders/>
            <w:vAlign w:val="center"/>
          </w:tcPr>
          <w:p>
            <w:pPr>
              <w:pStyle w:val="TableContents"/>
              <w:bidi w:val="0"/>
              <w:spacing w:before="0" w:after="283"/>
              <w:jc w:val="left"/>
              <w:rPr>
                <w:sz w:val="4"/>
                <w:szCs w:val="4"/>
              </w:rPr>
            </w:pPr>
            <w:r>
              <w:rPr>
                <w:sz w:val="4"/>
                <w:szCs w:val="4"/>
              </w:rPr>
            </w:r>
          </w:p>
        </w:tc>
        <w:tc>
          <w:tcPr>
            <w:tcW w:w="3012"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Part I - Financial Information</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fbdbddabcb140d0bc8f6db8d3277c05_10">
              <w:r>
                <w:rPr>
                  <w:rStyle w:val="InternetLink"/>
                  <w:rFonts w:ascii="Times New Roman;serif" w:hAnsi="Times New Roman;serif"/>
                  <w:b w:val="false"/>
                  <w:strike w:val="false"/>
                  <w:dstrike w:val="false"/>
                  <w:color w:val="000000"/>
                  <w:sz w:val="20"/>
                  <w:u w:val="none"/>
                  <w:effect w:val="none"/>
                </w:rPr>
                <w:t>Item 1. Financial Statements</w:t>
              </w:r>
            </w:hyperlink>
            <w:r>
              <w:rPr>
                <w:rFonts w:ascii="Times New Roman;serif" w:hAnsi="Times New Roman;serif"/>
                <w:b w:val="false"/>
                <w:color w:val="000000"/>
                <w:sz w:val="20"/>
              </w:rPr>
              <w:t xml:space="preserve"> (unaudited)</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9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fbdbddabcb140d0bc8f6db8d3277c05_13">
              <w:r>
                <w:rPr>
                  <w:rStyle w:val="InternetLink"/>
                  <w:rFonts w:ascii="Times New Roman;serif" w:hAnsi="Times New Roman;serif"/>
                  <w:b w:val="false"/>
                  <w:strike w:val="false"/>
                  <w:dstrike w:val="false"/>
                  <w:color w:val="000000"/>
                  <w:sz w:val="20"/>
                  <w:u w:val="none"/>
                  <w:effect w:val="none"/>
                </w:rPr>
                <w:t xml:space="preserve">Condensed Consolidated Balance Sheets </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fbdbddabcb140d0bc8f6db8d3277c05_13">
              <w:r>
                <w:rPr>
                  <w:rStyle w:val="InternetLink"/>
                  <w:rFonts w:ascii="Times New Roman;serif" w:hAnsi="Times New Roman;serif"/>
                  <w:b w:val="false"/>
                  <w:strike w:val="false"/>
                  <w:dstrike w:val="false"/>
                  <w:color w:val="000000"/>
                  <w:sz w:val="20"/>
                  <w:u w:val="none"/>
                  <w:effect w:val="none"/>
                </w:rPr>
                <w:t>3</w:t>
              </w:r>
            </w:hyperlink>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fbdbddabcb140d0bc8f6db8d3277c05_16">
              <w:r>
                <w:rPr>
                  <w:rStyle w:val="InternetLink"/>
                  <w:rFonts w:ascii="Times New Roman;serif" w:hAnsi="Times New Roman;serif"/>
                  <w:b w:val="false"/>
                  <w:strike w:val="false"/>
                  <w:dstrike w:val="false"/>
                  <w:color w:val="000000"/>
                  <w:sz w:val="20"/>
                  <w:u w:val="none"/>
                  <w:effect w:val="none"/>
                </w:rPr>
                <w:t>Condensed Consolidated Statements of Operations and Comprehensive Loss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fbdbddabcb140d0bc8f6db8d3277c05_16">
              <w:r>
                <w:rPr>
                  <w:rStyle w:val="InternetLink"/>
                  <w:rFonts w:ascii="Times New Roman;serif" w:hAnsi="Times New Roman;serif"/>
                  <w:b w:val="false"/>
                  <w:strike w:val="false"/>
                  <w:dstrike w:val="false"/>
                  <w:color w:val="000000"/>
                  <w:sz w:val="20"/>
                  <w:u w:val="none"/>
                  <w:effect w:val="none"/>
                </w:rPr>
                <w:t>4</w:t>
              </w:r>
            </w:hyperlink>
          </w:p>
        </w:tc>
      </w:tr>
      <w:tr>
        <w:trPr/>
        <w:tc>
          <w:tcPr>
            <w:tcW w:w="9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2fbdbddabcb140d0bc8f6db8d3277c05_19">
              <w:bookmarkStart w:id="0" w:name="ic81dfbf0adbb466f85702d0da5d64c02_5-0-4-"/>
              <w:bookmarkEnd w:id="0"/>
              <w:r>
                <w:rPr>
                  <w:rStyle w:val="InternetLink"/>
                  <w:rFonts w:ascii="Times New Roman;serif" w:hAnsi="Times New Roman;serif"/>
                  <w:b w:val="false"/>
                  <w:strike w:val="false"/>
                  <w:dstrike w:val="false"/>
                  <w:color w:val="000000"/>
                  <w:sz w:val="20"/>
                  <w:u w:val="none"/>
                  <w:effect w:val="none"/>
                </w:rPr>
                <w:t>Condensed Consolidated Statements of Redeemable Convertible Preferred Stock and Stockholders' Equity (Deficit)</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fbdbddabcb140d0bc8f6db8d3277c05_19">
              <w:r>
                <w:rPr>
                  <w:rStyle w:val="InternetLink"/>
                  <w:rFonts w:ascii="Times New Roman;serif" w:hAnsi="Times New Roman;serif"/>
                  <w:b w:val="false"/>
                  <w:strike w:val="false"/>
                  <w:dstrike w:val="false"/>
                  <w:color w:val="000000"/>
                  <w:sz w:val="20"/>
                  <w:u w:val="none"/>
                  <w:effect w:val="none"/>
                </w:rPr>
                <w:t>5</w:t>
              </w:r>
            </w:hyperlink>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fbdbddabcb140d0bc8f6db8d3277c05_22">
              <w:r>
                <w:rPr>
                  <w:rStyle w:val="InternetLink"/>
                  <w:rFonts w:ascii="Times New Roman;serif" w:hAnsi="Times New Roman;serif"/>
                  <w:b w:val="false"/>
                  <w:strike w:val="false"/>
                  <w:dstrike w:val="false"/>
                  <w:color w:val="000000"/>
                  <w:sz w:val="20"/>
                  <w:u w:val="none"/>
                  <w:effect w:val="none"/>
                </w:rPr>
                <w:t>Condensed Consolidated Statements of Cash Flows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fbdbddabcb140d0bc8f6db8d3277c05_22">
              <w:r>
                <w:rPr>
                  <w:rStyle w:val="InternetLink"/>
                  <w:rFonts w:ascii="Times New Roman;serif" w:hAnsi="Times New Roman;serif"/>
                  <w:b w:val="false"/>
                  <w:strike w:val="false"/>
                  <w:dstrike w:val="false"/>
                  <w:color w:val="000000"/>
                  <w:sz w:val="20"/>
                  <w:u w:val="none"/>
                  <w:effect w:val="none"/>
                </w:rPr>
                <w:t>6</w:t>
              </w:r>
            </w:hyperlink>
          </w:p>
        </w:tc>
      </w:tr>
      <w:tr>
        <w:trPr/>
        <w:tc>
          <w:tcPr>
            <w:tcW w:w="9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fbdbddabcb140d0bc8f6db8d3277c05_28">
              <w:r>
                <w:rPr>
                  <w:rStyle w:val="InternetLink"/>
                  <w:rFonts w:ascii="Times New Roman;serif" w:hAnsi="Times New Roman;serif"/>
                  <w:b w:val="false"/>
                  <w:strike w:val="false"/>
                  <w:dstrike w:val="false"/>
                  <w:color w:val="000000"/>
                  <w:sz w:val="20"/>
                  <w:u w:val="none"/>
                  <w:effect w:val="none"/>
                </w:rPr>
                <w:t>Notes to the Condensed Consolidated 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fbdbddabcb140d0bc8f6db8d3277c05_28">
              <w:r>
                <w:rPr>
                  <w:rStyle w:val="InternetLink"/>
                  <w:rFonts w:ascii="Times New Roman;serif" w:hAnsi="Times New Roman;serif"/>
                  <w:b w:val="false"/>
                  <w:strike w:val="false"/>
                  <w:dstrike w:val="false"/>
                  <w:color w:val="000000"/>
                  <w:sz w:val="20"/>
                  <w:u w:val="none"/>
                  <w:effect w:val="none"/>
                </w:rPr>
                <w:t>8</w:t>
              </w:r>
            </w:hyperlink>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fbdbddabcb140d0bc8f6db8d3277c05_76">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fbdbddabcb140d0bc8f6db8d3277c05_76">
              <w:r>
                <w:rPr>
                  <w:rStyle w:val="InternetLink"/>
                  <w:rFonts w:ascii="Times New Roman;serif" w:hAnsi="Times New Roman;serif"/>
                  <w:b w:val="false"/>
                  <w:strike w:val="false"/>
                  <w:dstrike w:val="false"/>
                  <w:color w:val="000000"/>
                  <w:sz w:val="20"/>
                  <w:u w:val="none"/>
                  <w:effect w:val="none"/>
                </w:rPr>
                <w:t>17</w:t>
              </w:r>
            </w:hyperlink>
          </w:p>
        </w:tc>
      </w:tr>
      <w:tr>
        <w:trPr/>
        <w:tc>
          <w:tcPr>
            <w:tcW w:w="9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fbdbddabcb140d0bc8f6db8d3277c05_133">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fbdbddabcb140d0bc8f6db8d3277c05_133">
              <w:r>
                <w:rPr>
                  <w:rStyle w:val="InternetLink"/>
                  <w:rFonts w:ascii="Times New Roman;serif" w:hAnsi="Times New Roman;serif"/>
                  <w:b w:val="false"/>
                  <w:strike w:val="false"/>
                  <w:dstrike w:val="false"/>
                  <w:color w:val="000000"/>
                  <w:sz w:val="20"/>
                  <w:u w:val="none"/>
                  <w:effect w:val="none"/>
                </w:rPr>
                <w:t>30</w:t>
              </w:r>
            </w:hyperlink>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fbdbddabcb140d0bc8f6db8d3277c05_136">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fbdbddabcb140d0bc8f6db8d3277c05_136">
              <w:r>
                <w:rPr>
                  <w:rStyle w:val="InternetLink"/>
                  <w:rFonts w:ascii="Times New Roman;serif" w:hAnsi="Times New Roman;serif"/>
                  <w:b w:val="false"/>
                  <w:strike w:val="false"/>
                  <w:dstrike w:val="false"/>
                  <w:color w:val="000000"/>
                  <w:sz w:val="20"/>
                  <w:u w:val="none"/>
                  <w:effect w:val="none"/>
                </w:rPr>
                <w:t>30</w:t>
              </w:r>
            </w:hyperlink>
          </w:p>
        </w:tc>
      </w:tr>
      <w:tr>
        <w:trPr/>
        <w:tc>
          <w:tcPr>
            <w:tcW w:w="9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fbdbddabcb140d0bc8f6db8d3277c05_139">
              <w:r>
                <w:rPr>
                  <w:rStyle w:val="InternetLink"/>
                  <w:rFonts w:ascii="Times New Roman;serif" w:hAnsi="Times New Roman;serif"/>
                  <w:b w:val="false"/>
                  <w:strike w:val="false"/>
                  <w:dstrike w:val="false"/>
                  <w:color w:val="000000"/>
                  <w:sz w:val="20"/>
                  <w:u w:val="none"/>
                  <w:effect w:val="none"/>
                </w:rPr>
                <w:t>Part II - 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fbdbddabcb140d0bc8f6db8d3277c05_142">
              <w:r>
                <w:rPr>
                  <w:rStyle w:val="InternetLink"/>
                  <w:rFonts w:ascii="Times New Roman;serif" w:hAnsi="Times New Roman;serif"/>
                  <w:b w:val="false"/>
                  <w:strike w:val="false"/>
                  <w:dstrike w:val="false"/>
                  <w:color w:val="000000"/>
                  <w:sz w:val="20"/>
                  <w:u w:val="none"/>
                  <w:effect w:val="none"/>
                </w:rPr>
                <w:t>Item 1. Legal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fbdbddabcb140d0bc8f6db8d3277c05_142">
              <w:r>
                <w:rPr>
                  <w:rStyle w:val="InternetLink"/>
                  <w:rFonts w:ascii="Times New Roman;serif" w:hAnsi="Times New Roman;serif"/>
                  <w:b w:val="false"/>
                  <w:strike w:val="false"/>
                  <w:dstrike w:val="false"/>
                  <w:color w:val="000000"/>
                  <w:sz w:val="20"/>
                  <w:u w:val="none"/>
                  <w:effect w:val="none"/>
                </w:rPr>
                <w:t>31</w:t>
              </w:r>
            </w:hyperlink>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fbdbddabcb140d0bc8f6db8d3277c05_145">
              <w:r>
                <w:rPr>
                  <w:rStyle w:val="InternetLink"/>
                  <w:rFonts w:ascii="Times New Roman;serif" w:hAnsi="Times New Roman;serif"/>
                  <w:b w:val="false"/>
                  <w:strike w:val="false"/>
                  <w:dstrike w:val="false"/>
                  <w:color w:val="000000"/>
                  <w:sz w:val="20"/>
                  <w:u w:val="none"/>
                  <w:effect w:val="none"/>
                </w:rPr>
                <w:t>Item 1A. 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fbdbddabcb140d0bc8f6db8d3277c05_145">
              <w:r>
                <w:rPr>
                  <w:rStyle w:val="InternetLink"/>
                  <w:rFonts w:ascii="Times New Roman;serif" w:hAnsi="Times New Roman;serif"/>
                  <w:b w:val="false"/>
                  <w:strike w:val="false"/>
                  <w:dstrike w:val="false"/>
                  <w:color w:val="000000"/>
                  <w:sz w:val="20"/>
                  <w:u w:val="none"/>
                  <w:effect w:val="none"/>
                </w:rPr>
                <w:t>31</w:t>
              </w:r>
            </w:hyperlink>
          </w:p>
        </w:tc>
      </w:tr>
      <w:tr>
        <w:trPr/>
        <w:tc>
          <w:tcPr>
            <w:tcW w:w="9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fbdbddabcb140d0bc8f6db8d3277c05_148">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fbdbddabcb140d0bc8f6db8d3277c05_148">
              <w:r>
                <w:rPr>
                  <w:rStyle w:val="InternetLink"/>
                  <w:rFonts w:ascii="Times New Roman;serif" w:hAnsi="Times New Roman;serif"/>
                  <w:b w:val="false"/>
                  <w:strike w:val="false"/>
                  <w:dstrike w:val="false"/>
                  <w:color w:val="000000"/>
                  <w:sz w:val="20"/>
                  <w:u w:val="none"/>
                  <w:effect w:val="none"/>
                </w:rPr>
                <w:t>83</w:t>
              </w:r>
            </w:hyperlink>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fbdbddabcb140d0bc8f6db8d3277c05_151">
              <w:r>
                <w:rPr>
                  <w:rStyle w:val="InternetLink"/>
                  <w:rFonts w:ascii="Times New Roman;serif" w:hAnsi="Times New Roman;serif"/>
                  <w:b w:val="false"/>
                  <w:strike w:val="false"/>
                  <w:dstrike w:val="false"/>
                  <w:color w:val="000000"/>
                  <w:sz w:val="20"/>
                  <w:u w:val="none"/>
                  <w:effect w:val="none"/>
                </w:rPr>
                <w:t>Item 3. Defaults Upon Senior Securities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fbdbddabcb140d0bc8f6db8d3277c05_151">
              <w:r>
                <w:rPr>
                  <w:rStyle w:val="InternetLink"/>
                  <w:rFonts w:ascii="Times New Roman;serif" w:hAnsi="Times New Roman;serif"/>
                  <w:b w:val="false"/>
                  <w:strike w:val="false"/>
                  <w:dstrike w:val="false"/>
                  <w:color w:val="000000"/>
                  <w:sz w:val="20"/>
                  <w:u w:val="none"/>
                  <w:effect w:val="none"/>
                </w:rPr>
                <w:t>84</w:t>
              </w:r>
            </w:hyperlink>
          </w:p>
        </w:tc>
      </w:tr>
      <w:tr>
        <w:trPr/>
        <w:tc>
          <w:tcPr>
            <w:tcW w:w="9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fbdbddabcb140d0bc8f6db8d3277c05_154">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fbdbddabcb140d0bc8f6db8d3277c05_154">
              <w:r>
                <w:rPr>
                  <w:rStyle w:val="InternetLink"/>
                  <w:rFonts w:ascii="Times New Roman;serif" w:hAnsi="Times New Roman;serif"/>
                  <w:b w:val="false"/>
                  <w:strike w:val="false"/>
                  <w:dstrike w:val="false"/>
                  <w:color w:val="000000"/>
                  <w:sz w:val="20"/>
                  <w:u w:val="none"/>
                  <w:effect w:val="none"/>
                </w:rPr>
                <w:t>84</w:t>
              </w:r>
            </w:hyperlink>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fbdbddabcb140d0bc8f6db8d3277c05_157">
              <w:r>
                <w:rPr>
                  <w:rStyle w:val="InternetLink"/>
                  <w:rFonts w:ascii="Times New Roman;serif" w:hAnsi="Times New Roman;serif"/>
                  <w:b w:val="false"/>
                  <w:strike w:val="false"/>
                  <w:dstrike w:val="false"/>
                  <w:color w:val="000000"/>
                  <w:sz w:val="20"/>
                  <w:u w:val="none"/>
                  <w:effect w:val="none"/>
                </w:rPr>
                <w:t>Item 5. 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fbdbddabcb140d0bc8f6db8d3277c05_157">
              <w:r>
                <w:rPr>
                  <w:rStyle w:val="InternetLink"/>
                  <w:rFonts w:ascii="Times New Roman;serif" w:hAnsi="Times New Roman;serif"/>
                  <w:b w:val="false"/>
                  <w:strike w:val="false"/>
                  <w:dstrike w:val="false"/>
                  <w:color w:val="000000"/>
                  <w:sz w:val="20"/>
                  <w:u w:val="none"/>
                  <w:effect w:val="none"/>
                </w:rPr>
                <w:t>84</w:t>
              </w:r>
            </w:hyperlink>
          </w:p>
        </w:tc>
      </w:tr>
      <w:tr>
        <w:trPr/>
        <w:tc>
          <w:tcPr>
            <w:tcW w:w="9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fbdbddabcb140d0bc8f6db8d3277c05_163">
              <w:r>
                <w:rPr>
                  <w:rStyle w:val="InternetLink"/>
                  <w:rFonts w:ascii="Times New Roman;serif" w:hAnsi="Times New Roman;serif"/>
                  <w:b w:val="false"/>
                  <w:strike w:val="false"/>
                  <w:dstrike w:val="false"/>
                  <w:color w:val="000000"/>
                  <w:sz w:val="20"/>
                  <w:u w:val="none"/>
                  <w:effect w:val="none"/>
                </w:rPr>
                <w:t>Item 6. 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fbdbddabcb140d0bc8f6db8d3277c05_163">
              <w:r>
                <w:rPr>
                  <w:rStyle w:val="InternetLink"/>
                  <w:rFonts w:ascii="Times New Roman;serif" w:hAnsi="Times New Roman;serif"/>
                  <w:b w:val="false"/>
                  <w:strike w:val="false"/>
                  <w:dstrike w:val="false"/>
                  <w:color w:val="000000"/>
                  <w:sz w:val="20"/>
                  <w:u w:val="none"/>
                  <w:effect w:val="none"/>
                </w:rPr>
                <w:t>85</w:t>
              </w:r>
            </w:hyperlink>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fbdbddabcb140d0bc8f6db8d3277c05_166">
              <w:r>
                <w:rPr>
                  <w:rStyle w:val="InternetLink"/>
                  <w:rFonts w:ascii="Times New Roman;serif" w:hAnsi="Times New Roman;serif"/>
                  <w:b w:val="false"/>
                  <w:strike w:val="false"/>
                  <w:dstrike w:val="false"/>
                  <w:color w:val="000000"/>
                  <w:sz w:val="20"/>
                  <w:u w:val="none"/>
                  <w:effect w:val="none"/>
                </w:rPr>
                <w:t>Signatures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fbdbddabcb140d0bc8f6db8d3277c05_166">
              <w:r>
                <w:rPr>
                  <w:rStyle w:val="InternetLink"/>
                  <w:rFonts w:ascii="Times New Roman;serif" w:hAnsi="Times New Roman;serif"/>
                  <w:b w:val="false"/>
                  <w:strike w:val="false"/>
                  <w:dstrike w:val="false"/>
                  <w:color w:val="000000"/>
                  <w:sz w:val="20"/>
                  <w:u w:val="none"/>
                  <w:effect w:val="none"/>
                </w:rPr>
                <w:t>86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including, without limitation, statements under the heading “Management’s Discussion and Analysis of Financial Condition and Results of Operations,” includes forward-looking statements within the meaning of Section 27A of the Securities Act of 1933, as amended (the “Securities Act”), Section 21E of the Securities Exchange Act of 1934, as amended (the “Exchange Act”), and the Private Securities Litigation Reform Act of 1995. These forward-looking statements can be identified by the use of forward-looking terminology, including the words “believe,” “estimate,” “anticipate,” “expect,” “assume,” “imply,” “intend,” “plan,” “may,” “will,” “potential,” “project,” “predict,” “continue,” “could,” “confident,” “confidence,” or “should,” or, in each case, their plural, their negative or other variations, or comparable terminology. There can be no assurance that actual results will not materially differ from expectations. Such statements include, but are not limited to, any statements relating to our financial and business performance, including with respect to the Omada Health platform, our marketing campaigns, investments in innovation, the solutions accessible on our platform, and our infrastructure, and the underlying assumptions with respect to the foregoing; statements relating to events and trends relevant to us, including with respect to our regulatory environment, financial condition, results of operations, short- and long-term business operations, objectives, and financial needs; expectations regarding our mobile applications, market acceptance, user experience, customer retention, brand development, our ability to invest and generate a return on any such investment, customer acquisition costs, operating efficiencies and leverage (including our fulfillment capabilities), the effect of any pricing decisions, changes in our product and offering mix, the timing and market acceptance of any new products or offerings, the timing and anticipated effect of any pending or recently completed acquisitions, the success of our business model, our market opportunity, our ability to scale our business and expand internationally, the growth of certain of our specialties, our ability to innovate on and expand the scope of our offerings and experiences, including through the use of data analytics and artificial intelligence, our ability to reinvest into the customer experience, our ability to comply with the extensive, complex, and evolving legal and regulatory requirements applicable to our business, including without limitation state and federal healthcare, privacy and consumer protection laws and regulations, and the effect or outcome of litigation or governmental actions in relation to any such legal and regulatory requirements. We caution you that the foregoing list does not contain all of the forward-looking statements made in this Quarterly Report on Form 10-Q.</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Quarterly Report on Form 10-Q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discussed in Part I, Item 2, “Management’s Discussion and Analysis of Financial Condition and Results of Operations” and Part II, Item 1A, “Risk Factors” in this Quarterly Report on Form 10-Q, as well as other documents that may be filed by us from time to time with the U.S. Securities and Exchange Commission. Should one or more of these risks or uncertainties materialize, or should any of our assumptions prove incorrect, actual results may vary in material respects from those projected in these forward-looking statements.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available. We undertake no obligation (and expressly disclaim any obligation) to update or revise any forward-looking statements, whether as a result of new information, future events or otherwise, except as may be required under applicable securities laws.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on Form 10-Q and the documents that we reference in this Quarterly Report on Form 10-Q and have filed as exhibits to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per-share data, unaudited)</w:t>
      </w:r>
    </w:p>
    <w:tbl>
      <w:tblPr>
        <w:tblW w:w="10205" w:type="dxa"/>
        <w:jc w:val="left"/>
        <w:tblInd w:w="0" w:type="dxa"/>
        <w:tblLayout w:type="fixed"/>
        <w:tblCellMar>
          <w:top w:w="28" w:type="dxa"/>
          <w:left w:w="28" w:type="dxa"/>
          <w:bottom w:w="28" w:type="dxa"/>
          <w:right w:w="28" w:type="dxa"/>
        </w:tblCellMar>
      </w:tblPr>
      <w:tblGrid>
        <w:gridCol w:w="2810"/>
        <w:gridCol w:w="2327"/>
        <w:gridCol w:w="2255"/>
        <w:gridCol w:w="217"/>
        <w:gridCol w:w="851"/>
        <w:gridCol w:w="112"/>
        <w:gridCol w:w="109"/>
        <w:gridCol w:w="109"/>
        <w:gridCol w:w="109"/>
        <w:gridCol w:w="230"/>
        <w:gridCol w:w="903"/>
        <w:gridCol w:w="173"/>
      </w:tblGrid>
      <w:tr>
        <w:trPr/>
        <w:tc>
          <w:tcPr>
            <w:tcW w:w="2810"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211,765 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222,036 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Accounts receivable, net</w:t>
            </w:r>
            <w:r>
              <w:rPr>
                <w:color w:val="000000"/>
              </w:rPr>
              <w:t xml:space="preserve"> </w:t>
            </w:r>
            <w:r>
              <w:rPr>
                <w:rFonts w:ascii="Times New Roman;serif" w:hAnsi="Times New Roman;serif"/>
                <w:b w:val="false"/>
                <w:color w:val="000000"/>
                <w:sz w:val="13"/>
              </w:rPr>
              <w:t>(1)</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34,585 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 current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Prepaid expenses and other current assets </w:t>
            </w:r>
            <w:r>
              <w:rPr>
                <w:rFonts w:ascii="Times New Roman;serif" w:hAnsi="Times New Roman;serif"/>
                <w:b w:val="false"/>
                <w:color w:val="000000"/>
                <w:sz w:val="13"/>
              </w:rPr>
              <w:t>(2)</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269,427 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272,934 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 non-current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302,798 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305,406 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Accounts payable </w:t>
            </w:r>
            <w:r>
              <w:rPr>
                <w:rFonts w:ascii="Times New Roman;serif" w:hAnsi="Times New Roman;serif"/>
                <w:b w:val="false"/>
                <w:color w:val="000000"/>
                <w:sz w:val="13"/>
              </w:rPr>
              <w:t>(3)</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Accrued expenses and other current liabilities</w:t>
            </w:r>
            <w:r>
              <w:rPr>
                <w:color w:val="000000"/>
              </w:rPr>
              <w:t xml:space="preserve"> </w:t>
            </w:r>
            <w:r>
              <w:rPr>
                <w:rFonts w:ascii="Times New Roman;serif" w:hAnsi="Times New Roman;serif"/>
                <w:b w:val="false"/>
                <w:color w:val="000000"/>
                <w:sz w:val="13"/>
              </w:rPr>
              <w:t>(4)</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40,392 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Deferred revenue</w:t>
            </w:r>
            <w:r>
              <w:rPr>
                <w:color w:val="000000"/>
              </w:rPr>
              <w:t xml:space="preserve"> </w:t>
            </w:r>
            <w:r>
              <w:rPr>
                <w:rFonts w:ascii="Times New Roman;serif" w:hAnsi="Times New Roman;serif"/>
                <w:b w:val="false"/>
                <w:color w:val="000000"/>
                <w:sz w:val="13"/>
              </w:rPr>
              <w:t>(5)</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25,058 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68,680 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75,726 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68,680 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75,726 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5)</w:t>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 750,000 and 750,000 shares authorized as of March 31, 2026 and December 31, 2025, respectively; 59,240 and 58,429 shares issued and outstanding as of March 31, 2026 and December 31, 2025, respectively</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693,773 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686,366 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(459,714)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(456,744)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234,118 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229,680 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302,798 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305,406 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(1)Includes amounts from a related party of $25.8 million and $22.8 million as of March 31, 2026 and December 31, 2025,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(2)Includes amounts from a related party of $0.5 million and $0.3 million as of March 31, 2026 and December 31, 2025,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(3)Includes amounts from a related party of $0 and $1.0 million as of March 31, 2026 and December 31, 2025,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(4)Includes amounts from a related party of $6.9 million and $4.9 million as of March 31, 2026 and December 31, 2025, respectively.</w:t>
      </w:r>
    </w:p>
    <w:p>
      <w:pPr>
        <w:pStyle w:val="TextBody"/>
        <w:bidi w:val="0"/>
        <w:spacing w:lineRule="auto" w:line="288" w:before="0" w:after="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(5)Includes amounts from a related party of $22.2 million and $18.8 million as of March 31,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2580"/>
                <wp:effectExtent l="0" t="0" r="0" b="0"/>
                <wp:wrapNone/>
                <wp:docPr id="4" name="Frame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per-share data, unaudited)</w:t>
      </w:r>
    </w:p>
    <w:tbl>
      <w:tblPr>
        <w:tblW w:w="7600" w:type="dxa"/>
        <w:jc w:val="left"/>
        <w:tblInd w:w="0" w:type="dxa"/>
        <w:tblLayout w:type="fixed"/>
        <w:tblCellMar>
          <w:top w:w="28" w:type="dxa"/>
          <w:left w:w="28" w:type="dxa"/>
          <w:bottom w:w="28" w:type="dxa"/>
          <w:right w:w="28" w:type="dxa"/>
        </w:tblCellMar>
      </w:tblPr>
      <w:tblGrid>
        <w:gridCol w:w="1704"/>
        <w:gridCol w:w="1502"/>
        <w:gridCol w:w="1504"/>
        <w:gridCol w:w="211"/>
        <w:gridCol w:w="721"/>
        <w:gridCol w:w="109"/>
        <w:gridCol w:w="109"/>
        <w:gridCol w:w="109"/>
        <w:gridCol w:w="109"/>
        <w:gridCol w:w="211"/>
        <w:gridCol w:w="721"/>
        <w:gridCol w:w="109"/>
        <w:gridCol w:w="109"/>
        <w:gridCol w:w="109"/>
        <w:gridCol w:w="109"/>
        <w:gridCol w:w="154"/>
      </w:tblGrid>
      <w:tr>
        <w:trPr/>
        <w:tc>
          <w:tcPr>
            <w:tcW w:w="1704"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1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Services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Hardware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Services</w:t>
            </w:r>
            <w:r>
              <w:rPr>
                <w:color w:val="000000"/>
              </w:rPr>
              <w:t xml:space="preserve">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Sales and marketing</w:t>
            </w:r>
            <w:r>
              <w:rPr>
                <w:color w:val="000000"/>
              </w:rPr>
              <w:t xml:space="preserve"> </w:t>
            </w:r>
            <w:r>
              <w:rPr>
                <w:rFonts w:ascii="Times New Roman;serif" w:hAnsi="Times New Roman;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basic and diluted</w:t>
            </w:r>
          </w:p>
        </w:tc>
        <w:tc>
          <w:tcPr>
            <w:tcW w:w="10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(1)Includes amounts from a related party of $46.0 million and $29.9 million for the three months ended March 31, 2026 and 2025,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(2)Includes amounts from a related party of $5.1 million and $3.4 million for the three months ended March 31, 2026 and 2025,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(3)Includes amounts from a related party of $1.3 million and $1.2 million for the three months ended March 31, 2026 and 2025,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(4)Includes amounts from a related party of $0.7 million and $0.5 million for the three months ended March 31, 2026 and 2025,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(5)Includes amounts from a related party of $8.4 million and $5.6 million for the three months ended March 31, 2026 and 2025, respectively.</w:t>
      </w:r>
    </w:p>
    <w:p>
      <w:pPr>
        <w:pStyle w:val="TextBody"/>
        <w:bidi w:val="0"/>
        <w:spacing w:lineRule="auto" w:line="288" w:before="0" w:after="5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(6)Includes amounts from a related party of $0.5 million and $0.3 million for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2580"/>
                <wp:effectExtent l="0" t="0" r="0" b="0"/>
                <wp:wrapNone/>
                <wp:docPr id="5" name="Frame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STOCKHOLDERS’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205" w:type="dxa"/>
        <w:jc w:val="center"/>
        <w:tblInd w:w="0" w:type="dxa"/>
        <w:tblLayout w:type="fixed"/>
        <w:tblCellMar>
          <w:top w:w="28" w:type="dxa"/>
          <w:left w:w="28" w:type="dxa"/>
          <w:bottom w:w="28" w:type="dxa"/>
          <w:right w:w="28" w:type="dxa"/>
        </w:tblCellMar>
      </w:tblPr>
      <w:tblGrid>
        <w:gridCol w:w="830"/>
        <w:gridCol w:w="467"/>
        <w:gridCol w:w="469"/>
        <w:gridCol w:w="286"/>
        <w:gridCol w:w="199"/>
        <w:gridCol w:w="125"/>
        <w:gridCol w:w="125"/>
        <w:gridCol w:w="125"/>
        <w:gridCol w:w="125"/>
        <w:gridCol w:w="384"/>
        <w:gridCol w:w="242"/>
        <w:gridCol w:w="125"/>
        <w:gridCol w:w="109"/>
        <w:gridCol w:w="109"/>
        <w:gridCol w:w="109"/>
        <w:gridCol w:w="109"/>
        <w:gridCol w:w="109"/>
        <w:gridCol w:w="109"/>
        <w:gridCol w:w="199"/>
        <w:gridCol w:w="199"/>
        <w:gridCol w:w="203"/>
        <w:gridCol w:w="109"/>
        <w:gridCol w:w="109"/>
        <w:gridCol w:w="109"/>
        <w:gridCol w:w="212"/>
        <w:gridCol w:w="359"/>
        <w:gridCol w:w="120"/>
        <w:gridCol w:w="109"/>
        <w:gridCol w:w="109"/>
        <w:gridCol w:w="109"/>
        <w:gridCol w:w="212"/>
        <w:gridCol w:w="799"/>
        <w:gridCol w:w="118"/>
        <w:gridCol w:w="109"/>
        <w:gridCol w:w="109"/>
        <w:gridCol w:w="109"/>
        <w:gridCol w:w="203"/>
        <w:gridCol w:w="786"/>
        <w:gridCol w:w="113"/>
        <w:gridCol w:w="109"/>
        <w:gridCol w:w="109"/>
        <w:gridCol w:w="109"/>
        <w:gridCol w:w="218"/>
        <w:gridCol w:w="822"/>
        <w:gridCol w:w="178"/>
      </w:tblGrid>
      <w:tr>
        <w:trPr/>
        <w:tc>
          <w:tcPr>
            <w:tcW w:w="83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9" w:type="dxa"/>
            <w:gridSpan w:val="4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Redeemable Convertible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58,429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686,366 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(456,744)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229,680 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restricted stock units, net of shares withheld for employee taxes</w:t>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related to net share settlement of equity awards</w:t>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and comprehensive loss</w:t>
            </w:r>
          </w:p>
        </w:tc>
        <w:tc>
          <w:tcPr>
            <w:tcW w:w="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6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693,773 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(459,714)</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234,118 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12"/>
        <w:gridCol w:w="363"/>
        <w:gridCol w:w="364"/>
        <w:gridCol w:w="232"/>
        <w:gridCol w:w="232"/>
        <w:gridCol w:w="227"/>
        <w:gridCol w:w="117"/>
        <w:gridCol w:w="117"/>
        <w:gridCol w:w="117"/>
        <w:gridCol w:w="210"/>
        <w:gridCol w:w="790"/>
        <w:gridCol w:w="117"/>
        <w:gridCol w:w="109"/>
        <w:gridCol w:w="109"/>
        <w:gridCol w:w="109"/>
        <w:gridCol w:w="109"/>
        <w:gridCol w:w="109"/>
        <w:gridCol w:w="109"/>
        <w:gridCol w:w="195"/>
        <w:gridCol w:w="195"/>
        <w:gridCol w:w="196"/>
        <w:gridCol w:w="109"/>
        <w:gridCol w:w="109"/>
        <w:gridCol w:w="109"/>
        <w:gridCol w:w="248"/>
        <w:gridCol w:w="305"/>
        <w:gridCol w:w="138"/>
        <w:gridCol w:w="109"/>
        <w:gridCol w:w="109"/>
        <w:gridCol w:w="109"/>
        <w:gridCol w:w="216"/>
        <w:gridCol w:w="712"/>
        <w:gridCol w:w="120"/>
        <w:gridCol w:w="109"/>
        <w:gridCol w:w="109"/>
        <w:gridCol w:w="109"/>
        <w:gridCol w:w="203"/>
        <w:gridCol w:w="786"/>
        <w:gridCol w:w="113"/>
        <w:gridCol w:w="109"/>
        <w:gridCol w:w="109"/>
        <w:gridCol w:w="109"/>
        <w:gridCol w:w="210"/>
        <w:gridCol w:w="838"/>
        <w:gridCol w:w="170"/>
      </w:tblGrid>
      <w:tr>
        <w:trPr/>
        <w:tc>
          <w:tcPr>
            <w:tcW w:w="7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6" w:type="dxa"/>
            <w:gridSpan w:val="42"/>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Redeemable Convertible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Stockholders' Deficit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118,219</w:t>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449,034 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8,157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59,555 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(443,966)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(384,403)</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and comprehensive loss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(9,448)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(9,448)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6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118,219</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449,034 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63,357 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(453,414)</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(390,049)</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2580"/>
                <wp:effectExtent l="0" t="0" r="0" b="0"/>
                <wp:wrapNone/>
                <wp:docPr id="6" name="Frame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8528" w:type="dxa"/>
        <w:jc w:val="left"/>
        <w:tblInd w:w="0" w:type="dxa"/>
        <w:tblLayout w:type="fixed"/>
        <w:tblCellMar>
          <w:top w:w="28" w:type="dxa"/>
          <w:left w:w="28" w:type="dxa"/>
          <w:bottom w:w="28" w:type="dxa"/>
          <w:right w:w="28" w:type="dxa"/>
        </w:tblCellMar>
      </w:tblPr>
      <w:tblGrid>
        <w:gridCol w:w="2162"/>
        <w:gridCol w:w="1897"/>
        <w:gridCol w:w="1910"/>
        <w:gridCol w:w="211"/>
        <w:gridCol w:w="826"/>
        <w:gridCol w:w="109"/>
        <w:gridCol w:w="109"/>
        <w:gridCol w:w="109"/>
        <w:gridCol w:w="109"/>
        <w:gridCol w:w="211"/>
        <w:gridCol w:w="721"/>
        <w:gridCol w:w="154"/>
      </w:tblGrid>
      <w:tr>
        <w:trPr/>
        <w:tc>
          <w:tcPr>
            <w:tcW w:w="2162"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Provision for credit losses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Accounts receivable</w:t>
            </w:r>
            <w:r>
              <w:rPr>
                <w:color w:val="000000"/>
              </w:rPr>
              <w:t xml:space="preserve">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Prepaid expenses and other current assets </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Accounts payable</w:t>
            </w:r>
            <w:r>
              <w:rPr>
                <w:color w:val="000000"/>
              </w:rPr>
              <w:t xml:space="preserve"> </w:t>
            </w:r>
            <w:r>
              <w:rPr>
                <w:rFonts w:ascii="Times New Roman;serif" w:hAnsi="Times New Roman;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Accrued expenses and other current liabilities </w:t>
            </w:r>
            <w:r>
              <w:rPr>
                <w:rFonts w:ascii="Times New Roman;serif" w:hAnsi="Times New Roman;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Deferred revenue </w:t>
            </w:r>
            <w:r>
              <w:rPr>
                <w:rFonts w:ascii="Times New Roman;serif" w:hAnsi="Times New Roman;serif"/>
                <w:b w:val="false"/>
                <w:color w:val="000000"/>
                <w:sz w:val="13"/>
              </w:rPr>
              <w:t>(6)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offering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211,765 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(1)Includes changes in related party balances of less than $0.1 million and $0.1 million for the three months ended March 31, 2026 and 2025,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(2)Includes changes in related party balances of $3.0 million and $4.2 million for the three months ended March 31, 2026 and 2025,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(3)Includes changes in related party balances of $0.1 million and $0 for the three months ended March 31, 2026 and 2025,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(4)Includes changes in related party balances of $1.0 million and $0 for the three months ended March 31, 2026 and 2025, respectively.</w:t>
      </w:r>
    </w:p>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(5)Includes changes in related party balances of $2.0 million and $1.2 million for the three months ended March 31, 2026 and 2025, respectively.</w:t>
      </w:r>
    </w:p>
    <w:p>
      <w:pPr>
        <w:pStyle w:val="TextBody"/>
        <w:bidi w:val="0"/>
        <w:spacing w:lineRule="auto" w:line="288" w:before="0" w:after="40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(6)Includes changes in related party balances of $3.4 million and $3.5 million for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2580"/>
                <wp:effectExtent l="0" t="0" r="0" b="0"/>
                <wp:wrapNone/>
                <wp:docPr id="7" name="Frame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lineRule="auto" w:line="288" w:before="0" w:after="24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8379" w:type="dxa"/>
        <w:jc w:val="center"/>
        <w:tblInd w:w="0" w:type="dxa"/>
        <w:tblLayout w:type="fixed"/>
        <w:tblCellMar>
          <w:top w:w="28" w:type="dxa"/>
          <w:left w:w="28" w:type="dxa"/>
          <w:bottom w:w="28" w:type="dxa"/>
          <w:right w:w="28" w:type="dxa"/>
        </w:tblCellMar>
      </w:tblPr>
      <w:tblGrid>
        <w:gridCol w:w="2151"/>
        <w:gridCol w:w="1890"/>
        <w:gridCol w:w="1899"/>
        <w:gridCol w:w="280"/>
        <w:gridCol w:w="480"/>
        <w:gridCol w:w="144"/>
        <w:gridCol w:w="144"/>
        <w:gridCol w:w="144"/>
        <w:gridCol w:w="144"/>
        <w:gridCol w:w="280"/>
        <w:gridCol w:w="619"/>
        <w:gridCol w:w="204"/>
      </w:tblGrid>
      <w:tr>
        <w:trPr/>
        <w:tc>
          <w:tcPr>
            <w:tcW w:w="2151"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activities</w:t>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capitalized in internal-use software</w:t>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Unpaid deferred offering costs included in accounts payable</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Unpaid property and equipment included in accounts payable </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 xml:space="preserve">1.Description of Business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Omada Health, Inc. (together with its subsidiary and consolidated professional corporation, the “Company” or “Omada”) offers cardiometabolic programs for prediabetes, diabetes, and hypertension; a physical therapy program to address musculoskeletal (“MSK”) conditions; additional support for members taking glucagon-like peptide-1 agonists (“GLP-1”) in its cardiometabolic programs (“GLP-1 Care Tracks”); and behavioral health support across all programs. The Company was incorporated in the State of Delaware in April 2011, and its primary office is located in South San Francisco, California. The Company has a remote-first flexible work policy, which provides support and opportunities for employees to work remotely.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2.Summary of Significant Accounting Policies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have been prepared in conformity with accounting principles generally accepted in the United States of America (“U.S. GAAP”). The condensed consolidated financial statements include the accounts of Omada Health, Inc., its subsidiary, Physera, Inc., and a professional corporation, Physera Physical Therapy Group, PC (“PPTG” or the “professional corporation”), which was determined to be a variable interest entity (“VIE”) for which Omada is the primary beneficiary. All intercompany balances and transactions have been eliminated in consolidation. The unaudited condensed consolidated financial statements have been prepared on the same basis as the audited consolidated financial statements and reflect, in the opinion of management, all the adjustments of a normal, recurring nature that are necessary for the fair statement of the Company’s financial position, results of operations, and cash flows for the interim periods but are not necessarily indicative of the results expected for the full year or any other period.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information and footnote disclosures normally included in financial statements prepared in accordance with generally accepted accounting principles (“GAAP”) in the United States (“U.S.”) have been omitted or condensed pursuant to the rules and regulations of the U.S. Securities and Exchange Commission (“SEC”). Accordingly, the unaudited interim condensed consolidated financial statements should be read in conjunction with the audited consolidated financial statements and related notes included in the Company’s Annual Report on Form 10-K for the year ended December 31, 2025, as filed with the SEC on March 6, 2026.</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Variable Interest Entity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determines at the inception of each arrangement whether an entity in which the Company has made an investment or in which the Company has other variable interests is considered a VIE. The professional corporation is considered a VIE since it does not have sufficient equity to finance its activities without additional subordinated financial support. An enterprise having a controlling financial interest in a VIE must consolidate the VIE if it is considered the primary beneficiary, which is described as having both (1) the power to direct the activities of a VIE that most significantly impact the VIE’s economic performance and (2) the obligation to absorb losses of the VIE that potentially could be significant to the VIE or the right to receive benefits from the VIE that potentially could be significant to the VIE.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balance sheets as of March 31, 2026 and December 31, 2025 include assets of the consolidated VIE, which can only be used to settle obligations of the VIE, and liabilities of the consolidated VIE. As of March 31, 2026, after the elimination of intercompany transaction balances, assets of the consolidated VIE totaled $0.8 million, and liabilities of the consolidated VIE totaled $0.2 million. As of December 31, 2025, after the elimination of intercompany transaction balances, assets of the consolidated VIE totaled $0.8 million, and liabilities of the consolidated VIE totaled $0.2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27, 2025, the Company amended its restated certificate of incorporation, as amended, to effect a reverse stock split of shares of the Company’s common stock on a one-for-three basis (the “Reverse Stock Split”). The common stock warrants and options to purchase common stock were subsequently adjusted as a result of the Reverse Stock Split. All impacted share and per-share information included in these consolidated financial statements and notes thereto have been retroactively adjusted to give effect to the Reverse Stock Split. In connection with the one-for-three reverse split of the Company’s common stock effected on May 27, 2025, the conversion price for each series of the Company’s redeemable convertible preferred stock was adjusted such that each share of redeemable convertible preferred stock became convertible into one-third of a share of the Company’s common stock.</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Initial Public Offering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9, 2025, the Company completed its initial public offering (the “IPO”) of 9,085,000 shares of its common stock, which includes the exercise in full by the underwriters of their option to purchase from the Company 1,185,000 shares of the Company’s common stock, at a price to the public of $19.00 per share. The gross proceeds to the Company from the IPO were $172.6 million and the net proceeds amounted to $151.6 million, after deducting underwriting discounts and commissions and offering expenses payable by the Company. Immediately prior to the closing of the IPO, each outstanding share of the Company’s Series A, Series B, Series C, Series C-1, Series D, Series D-1, and Series E redeemable convertible preferred stock, including shares of redeemable convertible preferred stock issued upon the exercise of Series B and Series D redeemable convertible preferred stock warrants, converted into one-third of a share of the Company’s common stock (see Note 6 for additional information).</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 during the reporting period. The Company’s significant estimates and assumptions made in the accompanying condensed consolidated financial statements include, but are not limited to, determining standalone selling price for performance obligations in contracts with customers and variable consideration, the period of benefit for deferred commissions, the fair value of common stock warrants, the fair value of redeemable convertible preferred stock warrants, the valuation and assumptions underlying share-based compensation including the per-share fair value of the Company’s common stock prior to the Company’s IPO, the assessment of useful life and recoverability of long-lived assets, the valuation of deferred tax assets, and reserves for uncertain tax positions. By their nature, estimates are subject to an inherent degree of uncertainty and actual results could differ from those estimates. The Company bases its estimates on historical experience and on various other assumptions that are believed to be reasonable. Actual results may differ from those estimates or assumptions.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Company’s significant accounting policies from the audited consolidated financial statements for the fiscal year ended December 31, 2025, included in the Annual Report.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Segment and Geographic Information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considers operating segments to be components of the Company for which separate financial information is available and is evaluated regularly by the Company’s chief operating decision maker (“CODM”) in deciding how to allocate resources and in assessing performance. The CODM for the Company is the Chief Executive Officer. The CODM reviews financial information on a consolidated basis to make decisions about how to allocate resources and how to measure the Company’s performance. The Company has determined that it has one operating and reportable segment (refer to Note 9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Concentrations of Credit Risk and Significant Customers and Channel Partners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Concentrations of credit risk with respect to accounts receivable are primarily limited to certain customers and channel partners to which the Company makes substantial sales. Significant customers and channel partners are those which represent 10% or more of the accounts receivable balance or revenue for the periods presented. Customers and channel partners that accounted for 10% or more of accounts receivable, net as of March 31, 2026 and December 31, 2025, or 10% or more of revenue for the three months ended March 31, 2026 and 2025 were as follows:</w:t>
      </w:r>
    </w:p>
    <w:tbl>
      <w:tblPr>
        <w:tblW w:w="7311" w:type="dxa"/>
        <w:jc w:val="left"/>
        <w:tblInd w:w="0" w:type="dxa"/>
        <w:tblLayout w:type="fixed"/>
        <w:tblCellMar>
          <w:top w:w="28" w:type="dxa"/>
          <w:left w:w="28" w:type="dxa"/>
          <w:bottom w:w="28" w:type="dxa"/>
          <w:right w:w="28" w:type="dxa"/>
        </w:tblCellMar>
      </w:tblPr>
      <w:tblGrid>
        <w:gridCol w:w="315"/>
        <w:gridCol w:w="277"/>
        <w:gridCol w:w="278"/>
        <w:gridCol w:w="281"/>
        <w:gridCol w:w="281"/>
        <w:gridCol w:w="698"/>
        <w:gridCol w:w="159"/>
        <w:gridCol w:w="159"/>
        <w:gridCol w:w="159"/>
        <w:gridCol w:w="334"/>
        <w:gridCol w:w="334"/>
        <w:gridCol w:w="832"/>
        <w:gridCol w:w="109"/>
        <w:gridCol w:w="109"/>
        <w:gridCol w:w="109"/>
        <w:gridCol w:w="200"/>
        <w:gridCol w:w="200"/>
        <w:gridCol w:w="498"/>
        <w:gridCol w:w="200"/>
        <w:gridCol w:w="200"/>
        <w:gridCol w:w="200"/>
        <w:gridCol w:w="200"/>
        <w:gridCol w:w="200"/>
        <w:gridCol w:w="498"/>
        <w:gridCol w:w="109"/>
        <w:gridCol w:w="109"/>
        <w:gridCol w:w="109"/>
        <w:gridCol w:w="154"/>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481" w:type="dxa"/>
            <w:gridSpan w:val="4"/>
            <w:tcBorders/>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Partner A</w:t>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Partner B</w:t>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6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8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Partner A and Partner B are each affiliates of The Cigna Group (refer to Note 8 for additional information).</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financial instruments are required to be recorded at fair value. Other financial instruments, including cash and cash equivalents, are recorded at cost, which approximates fair value. Additionally, the carrying amounts of accounts receivable, prepaid expenses and other current assets, accounts payable, accrued expenses and other current liabilities approximate fair value due to their short-term nature.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Level 1 inputs: Quoted prices for identical assets and liabilities in active markets.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Level 2 inputs: Assets and liabilities based on observable market data for similar instruments, such as quoted prices for similar assets or liabilities or other inputs that are observable or can be corroborated by observable market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Level 3 inputs: Unobservable inputs reflecting the Company’s assumptions, consistent with reasonably available assumptions made by other market participants. These valuations require judgment.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hierarchy also requires an entity to maximize the use of observable inputs and minimizes the use of unobservable inputs when measuring fair value.</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Contract Assets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Contract assets include amounts related to the Company’s enforceable right to consideration for completed performance obligations that cannot be invoiced yet under the terms of the contract. Contract assets relate primarily to hardware revenue that is recognized upon shipment and has not yet been invoiced. The contract assets are reclassified to accounts receivable, net when the rights to payment become unconditional. As of March 31, 2026 and December 31, 2025, the Company had $1.4 million and $0.6 million short-term contract assets, respectively, included in prepaid expenses and other current assets in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Deferred revenue consists primarily of payments received and accounts receivable recorded in advance of the delivery or completion of the services. Deferred revenue associated with upfront payments for enrollment is generally recognized over the estimated benefit period to the member of twelve months. As of March 31, 2026 and December 31, 2025, deferred revenue was classified as a current liability based on the anticipated recognition period of twelve months or less. During the three months ended March 31, 2026, the Company recognized revenue of $12.9 million that was included in the deferred revenue balance at the beginning of the year.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New Accounting Pronouncements Not Yet Adopted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(the “FASB”) issued Accounting Standards Update (“ASU”) 2024-03, Disaggregation of Income Statement Expenses, which requires disclosures about specific types of expenses included in the expense captions presented on the face of the income statement as well as disclosures about selling expenses. The new guidance is effective for annual reporting periods beginning after December 15, 2026 and interim reporting periods beginning after December 15, 2027. Early adoption is permitted. The requirements will be applied prospectively with the option for retrospective application. The Company is currently evaluating the impact of the new standard on its condensed consolidated financial statement disclosures.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and Website Development Costs (Subtopic 350-50): Modernization of Guidance for Internal-Use Software. The update streamlines the cost-capitalization model for internal-use software by redefining project stages, focusing capitalization on costs incurred after “significant development uncertainty” is resolved, and eliminating the standalone website-development guidance. ASU 2025-06 is effective for annual reporting periods beginning after December 15, 2027 and interim periods within those annual periods; early adoption is permitted. Entities may apply the guidance prospectively or use a modified transition approach that records a cumulative-effect adjustment at adoption. The Company is currently evaluating the impact of the new standard on its condensed consolidated financial statement disclosures.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which clarifies the scope for interim reporting guidance. The amendments in this update are effective for interim reporting periods within annual reporting periods beginning after December 15, 2027 for public business entities. Early adoption is permitted. The requirements will be applied prospectively with the option for retrospective application. The Company is currently evaluating the impact of the new standard on its condensed consolidated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3.Fair Value Measurements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financial assets measured at fair value on a recurring basis based on the fair value hierarchy as follows (in thousands):</w:t>
      </w:r>
    </w:p>
    <w:tbl>
      <w:tblPr>
        <w:tblW w:w="6901" w:type="dxa"/>
        <w:jc w:val="left"/>
        <w:tblInd w:w="0" w:type="dxa"/>
        <w:tblLayout w:type="fixed"/>
        <w:tblCellMar>
          <w:top w:w="28" w:type="dxa"/>
          <w:left w:w="28" w:type="dxa"/>
          <w:bottom w:w="28" w:type="dxa"/>
          <w:right w:w="28" w:type="dxa"/>
        </w:tblCellMar>
      </w:tblPr>
      <w:tblGrid>
        <w:gridCol w:w="840"/>
        <w:gridCol w:w="739"/>
        <w:gridCol w:w="746"/>
        <w:gridCol w:w="211"/>
        <w:gridCol w:w="826"/>
        <w:gridCol w:w="109"/>
        <w:gridCol w:w="109"/>
        <w:gridCol w:w="109"/>
        <w:gridCol w:w="109"/>
        <w:gridCol w:w="250"/>
        <w:gridCol w:w="250"/>
        <w:gridCol w:w="129"/>
        <w:gridCol w:w="109"/>
        <w:gridCol w:w="109"/>
        <w:gridCol w:w="109"/>
        <w:gridCol w:w="250"/>
        <w:gridCol w:w="250"/>
        <w:gridCol w:w="129"/>
        <w:gridCol w:w="109"/>
        <w:gridCol w:w="109"/>
        <w:gridCol w:w="109"/>
        <w:gridCol w:w="211"/>
        <w:gridCol w:w="826"/>
        <w:gridCol w:w="154"/>
      </w:tblGrid>
      <w:tr>
        <w:trPr/>
        <w:tc>
          <w:tcPr>
            <w:tcW w:w="84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01" w:type="dxa"/>
        <w:jc w:val="left"/>
        <w:tblInd w:w="0" w:type="dxa"/>
        <w:tblLayout w:type="fixed"/>
        <w:tblCellMar>
          <w:top w:w="28" w:type="dxa"/>
          <w:left w:w="28" w:type="dxa"/>
          <w:bottom w:w="28" w:type="dxa"/>
          <w:right w:w="28" w:type="dxa"/>
        </w:tblCellMar>
      </w:tblPr>
      <w:tblGrid>
        <w:gridCol w:w="840"/>
        <w:gridCol w:w="739"/>
        <w:gridCol w:w="746"/>
        <w:gridCol w:w="211"/>
        <w:gridCol w:w="826"/>
        <w:gridCol w:w="109"/>
        <w:gridCol w:w="109"/>
        <w:gridCol w:w="109"/>
        <w:gridCol w:w="109"/>
        <w:gridCol w:w="250"/>
        <w:gridCol w:w="250"/>
        <w:gridCol w:w="129"/>
        <w:gridCol w:w="109"/>
        <w:gridCol w:w="109"/>
        <w:gridCol w:w="109"/>
        <w:gridCol w:w="250"/>
        <w:gridCol w:w="250"/>
        <w:gridCol w:w="129"/>
        <w:gridCol w:w="109"/>
        <w:gridCol w:w="109"/>
        <w:gridCol w:w="109"/>
        <w:gridCol w:w="211"/>
        <w:gridCol w:w="826"/>
        <w:gridCol w:w="154"/>
      </w:tblGrid>
      <w:tr>
        <w:trPr/>
        <w:tc>
          <w:tcPr>
            <w:tcW w:w="84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206,018 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6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Level 3 liabilities that were measured at fair value on a recurring basis consisted of Series B and D redeemable convertible preferred stock warrant liabilities and common stock warrant liabilities associated with warrants issued in connection with the Company’s financing arrangements that were cashless exercised and converted to the Company’s common stock during the year ended December 31, 2025. The Company recognized losses on the changes in the fair value of convertible preferred stock warrants and common stock warrants of $0.5 million during the three months ended March 31, 2025. No preferred stock warrant liabilities remained outstanding as of March 31, 2026.</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recognizes transfers among Level 1, Level 2, and Level 3 classifications as of the actual date of the events or change in circumstances that caused the transfers. There were no transfers between fair value measurement levels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 xml:space="preserve">4.Consolidated Balance Sheet Components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Accounts receivable, net consists of the following (in thousands):</w:t>
      </w:r>
    </w:p>
    <w:tbl>
      <w:tblPr>
        <w:tblW w:w="5682" w:type="dxa"/>
        <w:jc w:val="left"/>
        <w:tblInd w:w="0" w:type="dxa"/>
        <w:tblLayout w:type="fixed"/>
        <w:tblCellMar>
          <w:top w:w="28" w:type="dxa"/>
          <w:left w:w="28" w:type="dxa"/>
          <w:bottom w:w="28" w:type="dxa"/>
          <w:right w:w="28" w:type="dxa"/>
        </w:tblCellMar>
      </w:tblPr>
      <w:tblGrid>
        <w:gridCol w:w="924"/>
        <w:gridCol w:w="812"/>
        <w:gridCol w:w="814"/>
        <w:gridCol w:w="255"/>
        <w:gridCol w:w="873"/>
        <w:gridCol w:w="132"/>
        <w:gridCol w:w="109"/>
        <w:gridCol w:w="109"/>
        <w:gridCol w:w="109"/>
        <w:gridCol w:w="300"/>
        <w:gridCol w:w="1026"/>
        <w:gridCol w:w="219"/>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Billed accounts receivable</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22,182 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39,985 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34,585 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roll forward of the Company’s allowance for credit losses is as follows (in thousands):</w:t>
      </w:r>
    </w:p>
    <w:tbl>
      <w:tblPr>
        <w:tblW w:w="5188" w:type="dxa"/>
        <w:jc w:val="left"/>
        <w:tblInd w:w="0" w:type="dxa"/>
        <w:tblLayout w:type="fixed"/>
        <w:tblCellMar>
          <w:top w:w="28" w:type="dxa"/>
          <w:left w:w="28" w:type="dxa"/>
          <w:bottom w:w="28" w:type="dxa"/>
          <w:right w:w="28" w:type="dxa"/>
        </w:tblCellMar>
      </w:tblPr>
      <w:tblGrid>
        <w:gridCol w:w="994"/>
        <w:gridCol w:w="874"/>
        <w:gridCol w:w="877"/>
        <w:gridCol w:w="215"/>
        <w:gridCol w:w="706"/>
        <w:gridCol w:w="111"/>
        <w:gridCol w:w="111"/>
        <w:gridCol w:w="111"/>
        <w:gridCol w:w="111"/>
        <w:gridCol w:w="215"/>
        <w:gridCol w:w="706"/>
        <w:gridCol w:w="15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net</w:t>
            </w:r>
          </w:p>
        </w:tc>
        <w:tc>
          <w:tcPr>
            <w:tcW w:w="9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 and write-offs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Inventory is comprised of finished goods inventory. There was no reserve for excess and obsolete inventory recorded as of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5.Commitments and Contingencies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become subject to legal proceedings, claims, and litigation arising in the ordinary course of business. The Company is not presently a party to any such litigation the outcome of which, the Company believes, if determined adversely to the Company, would individually, or taken together, have a material adverse effect on the Company’s business, operating results, cash flows,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includes in its agreements indemnification provisions of varying scope and terms pursuant to which it agrees to indemnify customers, channel partners, suppliers,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The term of these indemnification provisions generally survive the termination of the agreements indefinitely. The maximum potential amount of future payments the Company could be required to make under these arrangements is not determinable. No demands have ever been made upon the Company to provide indemnification under such agreements, and there are no claims under those indemnification terms that the Company is aware of that could have a material effect on the condensed consolidated balance sheets, condensed consolidated statements of operations and comprehensive loss, or condensed consolidated statements of cash flows. Accordingly, the Company had no liabilities recorded for these provisions as of March 31, 2026 and December 31, 2025.</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Other Commitments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contractual commitments primarily consist of technology and cloud services related to the Company’s daily business operations. As of March 31, 2026, future minimum payments under the Company’s non-cancellable purchase commitments, for the years ended December 31, were as follows (in thousands):</w:t>
      </w:r>
    </w:p>
    <w:tbl>
      <w:tblPr>
        <w:tblW w:w="2661" w:type="dxa"/>
        <w:jc w:val="left"/>
        <w:tblInd w:w="0" w:type="dxa"/>
        <w:tblLayout w:type="fixed"/>
        <w:tblCellMar>
          <w:top w:w="28" w:type="dxa"/>
          <w:left w:w="28" w:type="dxa"/>
          <w:bottom w:w="28" w:type="dxa"/>
          <w:right w:w="28" w:type="dxa"/>
        </w:tblCellMar>
      </w:tblPr>
      <w:tblGrid>
        <w:gridCol w:w="608"/>
        <w:gridCol w:w="534"/>
        <w:gridCol w:w="538"/>
        <w:gridCol w:w="211"/>
        <w:gridCol w:w="61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purchase obligation amounts do not represent the entire anticipated purchases in the future but represent only those items for which the Company is contractually obligated. The majority of the Company’s goods and services are purchased as needed, with no unconditional commitment. For this reason, these amounts do not provide an indication of the Company’s expected future cash outflows related to 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color w:val="000000"/>
          <w:sz w:val="20"/>
        </w:rPr>
        <w:t>6.</w:t>
      </w:r>
      <w:r>
        <w:rPr>
          <w:rFonts w:ascii="Times New Roman;serif" w:hAnsi="Times New Roman;serif"/>
          <w:b/>
          <w:color w:val="000000"/>
          <w:sz w:val="20"/>
        </w:rPr>
        <w:t>Redeemable Convertible Preferred Stock and Stockholders’ Equity (Deficit)</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Common and Preferred Stock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its IPO, on June 9, 2025, the Company’s restated certificate of incorporation was amended and restated to authorize 750,000,000 shares of common stock, par value $0.001 per share, and 10,000,000 shares of preferred stock, par value $0.001 per share. No shares of preferred stock were outstanding as of March 31, 2026.</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total shares of the Company’s common stock reserved for issuance on an as-converted basis are as follows (in thousands):</w:t>
      </w:r>
    </w:p>
    <w:tbl>
      <w:tblPr>
        <w:tblW w:w="7149" w:type="dxa"/>
        <w:jc w:val="left"/>
        <w:tblInd w:w="0" w:type="dxa"/>
        <w:tblLayout w:type="fixed"/>
        <w:tblCellMar>
          <w:top w:w="28" w:type="dxa"/>
          <w:left w:w="28" w:type="dxa"/>
          <w:bottom w:w="28" w:type="dxa"/>
          <w:right w:w="28" w:type="dxa"/>
        </w:tblCellMar>
      </w:tblPr>
      <w:tblGrid>
        <w:gridCol w:w="1457"/>
        <w:gridCol w:w="1277"/>
        <w:gridCol w:w="1285"/>
        <w:gridCol w:w="419"/>
        <w:gridCol w:w="419"/>
        <w:gridCol w:w="421"/>
        <w:gridCol w:w="109"/>
        <w:gridCol w:w="109"/>
        <w:gridCol w:w="109"/>
        <w:gridCol w:w="452"/>
        <w:gridCol w:w="452"/>
        <w:gridCol w:w="640"/>
      </w:tblGrid>
      <w:tr>
        <w:trPr/>
        <w:tc>
          <w:tcPr>
            <w:tcW w:w="145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RSUs</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options outstanding</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10,093 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10,874 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available for future grants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purchase under the ESPP</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reserved</w:t>
            </w:r>
          </w:p>
        </w:tc>
        <w:tc>
          <w:tcPr>
            <w:tcW w:w="8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19,657 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16,896 </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Redeemable Convertible Preferred Stock</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previously issued shares of redeemable convertible preferred stock. Immediately prior to the closing of the IPO on June 9, 2025, all 118,218,801 shares of the Company’s Series A, Series B, Series C, Series C-1, Series D, Series D-1, and Series E redeemable convertible preferred stock, excluding shares issued upon the exercise of Series B and Series D convertible redeemable preferred stock warrants disclosed below, converted into an aggregate of 39,406,221 shares of the Company’s common stock (after adjusting the conversion ratios of the redeemable convertible preferred stock to give effect to the Reverse Stock Split), and such shares of redeemable convertible preferred stock were cancelled, retired, and eliminated from the shares of stock that the Company is authorized to issue and shall not be reissued by the Company. Following the IPO and as of March 31, 2026, no shares of redeemable convertible preferred stock were outstanding.</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Redeemable Convertible Preferred Stock and Common Stock Warrants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previously issued common and redeemable convertible preferred stock warrants in connection with certain notes payable and debt financing transactions. Following the closing of our IPO, all outstanding warrants were exercised. As of March 31, 2026 and December 31, 2025, no redeemable convertible preferred stock warrants or common stock warrants were outstanding.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2025, the Company had outstanding warrants to purchase shares of the Company’s common stock and outstanding warrants to purchase shares of the Company’s Series B and Series D redeemable convertible preferred stock that were classified as liabilities. The change in fair value for the three months ended March 31, 2025 resulted in a loss of $0.5 million for all three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7.Share-Based Compensation</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2011 Equity Incentive Plan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2025 Plan (as defined below), any shares subject to outstanding options originally granted under the Company’s 2011 Equity Incentive Plan (the “2011 Plan”) that terminate, expire, or lapse for any reason without the delivery of shares to the holder thereof shall become available for issuance pursuant to awards granted under the 2025 Plan. In connection with the effectiveness of the 2025 Plan, the 2011 Plan terminated, and no further awards will be granted under the 2011 Plan. However, all outstanding awards will continue to be governed by their existing terms.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2025 Equity Incentive Plan</w:t>
      </w:r>
    </w:p>
    <w:p>
      <w:pPr>
        <w:pStyle w:val="TextBody"/>
        <w:bidi w:val="0"/>
        <w:spacing w:lineRule="auto" w:line="26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the Company’s board of directors adopted, and its stockholders approved, the 2025 Incentive Award Plan (the “2025 Plan”), which became effective on the day prior to the effectiveness of the Company’s Registration Statement on Form S-1. Under the 2025 Plan, 5,045,541 shares of the Company’s common stock were initially reserved for issuance pursuant to a variety of stock-based compensation awards, including stock options, stock appreciation rights, restricted stock awards, restricted stock unit (“RSU”) awards, and other stock-based awards. The number of shares initially reserved for issuance pursuant to awards under the 2025 Plan will be increased by (i) the number of shares represented by awards outstanding under the 2011 Plan (“Prior Plan Awards”) that become available for issuance under the applicable counting provisions following the effective date of the 2025 Plan and (ii) an annual increase on the first day of each calendar year beginning in calendar year 2026 and ending in calendar year 2035, equal to the lesser of (A) 5% of the shares of the Company’s common stock outstanding (on an as-converted basis) on the last day of the immediately preceding fiscal year and (B) such smaller number of shares of stock as determined by the Company’s board of directors; provided, however, that no more than 15,136,624 shares of common stock may be issued upon the exercise of incentive stock options (“ISOs”). Terms of stock awards, including vesting requirements, are determined by the Company’s board of directors or by a committee authorized by the Company’s board of directors, subject to provisions of the 2025 Plan. The term of any stock option granted under the 2025 Plan cannot exceed ten years. Generally, awards granted by the Company vest over four years, but may be granted with different vesting terms. In conjunction with the effectiveness of the 2025 Plan, the 2011 Plan terminated, and no further awards will be granted under the 2011 Plan, although all outstanding awards under the 2011 Plan will continue to be governed by their existing terms. As of March 31, 2026 and December 31, 2025, 4,107,292 and 3,973,135 shares were available for future issuance pursuant to the 2025 Plan,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2025 Employee Stock Purchase Plan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the Company’s board of directors adopted, and its stockholders approved, the 2025 Employee Stock Purchase Plan (the “ESPP”), which became effective on the day prior to the effectiveness of the Company’s Registration Statement on Form S-1, with an initial reserve of 1,121,231 shares of the Company’s common stock. The ESPP allows eligible employees to purchase shares of the Company's common stock at a discount through payroll deductions of up to 15% of their compensation, subject to plan limitations. Such payroll deductions will be expressed as a whole number percentage, and the accumulated deductions will be applied to the purchase of shares of common stock on each purchase date. However, a participant may not purchase more than 666 shares of common stock in each offering period and may not subscribe for more than $25,000 in fair market value of shares of common stock (determined at the time the option is granted) during any calendar year. The ESPP administrator has the authority to change these limitations for any subsequent offering period. Unless otherwise determined by the Company's board of directors, employees are able to purchase shares at 85% of the lower of the fair market value of the Company's common stock on the first date of an offering or on the purchase date. The length of the offering periods under the ESPP will be determined by the plan administrator and may be up to 27 months long. The number of shares of the Company's common stock reserved for issuance under the ESPP will automatically increase on January 1 of each year for a period of ten years, beginning on January 1, 2026 and continuing through December 31, 2035, by the lesser of (i) 1% of the shares of common stock outstanding (on an as-converted basis) on the last day of the immediately preceding fiscal year and (ii) such number of shares of common stock as determined by the board of directors; provided, however, no more than 6,727,388 shares of common stock may be issued under the ESPP. The shares reserved for issuance under the ESPP may be authorized but unissued shares or reacquired shares. As of March 31, 2026 and December 31, 2025, 1,706,431 and 1,121,231 shares were available for future issuance pursuant to the ESPP, respectively. As of March 31, 2026 the first offering period under the ESPP had not commenced.</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summary of share-based compensation expense recognized in the condensed consolidated statement of operations and comprehensive loss is as follows (in thousands):</w:t>
      </w:r>
    </w:p>
    <w:tbl>
      <w:tblPr>
        <w:tblW w:w="6314" w:type="dxa"/>
        <w:jc w:val="left"/>
        <w:tblInd w:w="0" w:type="dxa"/>
        <w:tblLayout w:type="fixed"/>
        <w:tblCellMar>
          <w:top w:w="28" w:type="dxa"/>
          <w:left w:w="28" w:type="dxa"/>
          <w:bottom w:w="28" w:type="dxa"/>
          <w:right w:w="28" w:type="dxa"/>
        </w:tblCellMar>
      </w:tblPr>
      <w:tblGrid>
        <w:gridCol w:w="1243"/>
        <w:gridCol w:w="1091"/>
        <w:gridCol w:w="1100"/>
        <w:gridCol w:w="230"/>
        <w:gridCol w:w="672"/>
        <w:gridCol w:w="119"/>
        <w:gridCol w:w="119"/>
        <w:gridCol w:w="119"/>
        <w:gridCol w:w="119"/>
        <w:gridCol w:w="230"/>
        <w:gridCol w:w="672"/>
        <w:gridCol w:w="119"/>
        <w:gridCol w:w="109"/>
        <w:gridCol w:w="109"/>
        <w:gridCol w:w="109"/>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cost of revenue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there was approximately $15.5 million of total unrecognized compensation costs related to unvested stock options, which is expected to be recognized over the weighted-average period of 2.4 years using the straight-line method.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RSUs vest based on the terms in the grant agreements and generally vest ratably over a period of between one and four years from the vesting commencement date.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summary of unvested RSUs as of March 31, 2026 is as follows (in thousands, except per-share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tbl>
      <w:tblPr>
        <w:tblW w:w="8185" w:type="dxa"/>
        <w:jc w:val="left"/>
        <w:tblInd w:w="0" w:type="dxa"/>
        <w:tblLayout w:type="fixed"/>
        <w:tblCellMar>
          <w:top w:w="28" w:type="dxa"/>
          <w:left w:w="28" w:type="dxa"/>
          <w:bottom w:w="28" w:type="dxa"/>
          <w:right w:w="28" w:type="dxa"/>
        </w:tblCellMar>
      </w:tblPr>
      <w:tblGrid>
        <w:gridCol w:w="1059"/>
        <w:gridCol w:w="930"/>
        <w:gridCol w:w="936"/>
        <w:gridCol w:w="569"/>
        <w:gridCol w:w="569"/>
        <w:gridCol w:w="571"/>
        <w:gridCol w:w="109"/>
        <w:gridCol w:w="109"/>
        <w:gridCol w:w="109"/>
        <w:gridCol w:w="693"/>
        <w:gridCol w:w="2023"/>
        <w:gridCol w:w="508"/>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1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18.87</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15.99</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March 31, 2026</w:t>
            </w:r>
          </w:p>
        </w:tc>
        <w:tc>
          <w:tcPr>
            <w:tcW w:w="11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3,748 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there was approximately $53.6 million of unrecognized stock-based compensation expense related to unvested RSUs, which is expected to be recognized over a weighted-average period of 3.8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8.Related Party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Commercial Arrangements with Cigna and its Affiliates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customers, channel partners, and vendors include affiliates of The Cigna Group, which beneficially owns more than 5% of the Company’s outstanding capital stock through Cigna Ventures, LLC. The Company has entered into agreements with these affiliates that, among other things, provide for the provision of the Company’s programs to eligible individuals covered by these affiliates and, in certain cases, for the provision of services by such affiliates in connection with the administration of the Company’s programs. The Company also has agreements with these affiliates for the provision of certain benefits provided to the Company’s employees. Pursuant to these agreements, in addition to the amounts disclosed in the condensed consolidated balance sheets, condensed consolidated statements of operations and comprehensive loss, and condensed consolidated statements of cash flows, affiliates of The Cigna Group made payments to the Company of $48.3 million and $31.0 million during the three months ended March 31, 2026 and 2025, respectively. Additionally, the Company made payments to affiliates of The Cigna Group of $7.9 million and $4.8 million during the three months ended March 31,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9.Segment Reporting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one operating and reportable segment, which includes all virtual care program product offerings. The CODM manages the allocation of resources and assesses performance at the operating segment level.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CODM reviews information presented on a consolidated basis for purposes of making operating decisions, assessing financial performance, and allocating resources. The CODM assesses performance and decides how to allocate resources based on components reported on the condensed consolidated statement of operations including consolidated net loss. The CODM uses net loss to evaluate the return on assets and to determine investment opportunities related to development of new virtual care service offerings, new technologies, and platform enhancements. The CODM also uses net loss to monitor budget versus actual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OMADA HEALTH,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left"/>
        <w:rPr/>
      </w:pPr>
      <w:r>
        <w:rPr/>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segment net loss and significant expenses for the three months ended March 31, 2026 and 2025, consisted of the following (in thousands):</w:t>
      </w:r>
    </w:p>
    <w:tbl>
      <w:tblPr>
        <w:tblW w:w="5244" w:type="dxa"/>
        <w:jc w:val="left"/>
        <w:tblInd w:w="0" w:type="dxa"/>
        <w:tblLayout w:type="fixed"/>
        <w:tblCellMar>
          <w:top w:w="28" w:type="dxa"/>
          <w:left w:w="28" w:type="dxa"/>
          <w:bottom w:w="28" w:type="dxa"/>
          <w:right w:w="28" w:type="dxa"/>
        </w:tblCellMar>
      </w:tblPr>
      <w:tblGrid>
        <w:gridCol w:w="851"/>
        <w:gridCol w:w="750"/>
        <w:gridCol w:w="753"/>
        <w:gridCol w:w="211"/>
        <w:gridCol w:w="721"/>
        <w:gridCol w:w="109"/>
        <w:gridCol w:w="109"/>
        <w:gridCol w:w="109"/>
        <w:gridCol w:w="109"/>
        <w:gridCol w:w="211"/>
        <w:gridCol w:w="721"/>
        <w:gridCol w:w="109"/>
        <w:gridCol w:w="109"/>
        <w:gridCol w:w="109"/>
        <w:gridCol w:w="109"/>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Cost of revenue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Employee compensation</w:t>
            </w:r>
            <w:r>
              <w:rPr>
                <w:color w:val="000000"/>
              </w:rPr>
              <w:t xml:space="preserve">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net loss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(1)Depreciation and amortization included in cost of revenue was $1.4 million and $1.2 million for the three months ended March 31, 2026 and 2025,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(2)Employee compensation is part of research and development, sales and marketing and general and administrative expenses and includes salaries, share-based compensation expense, sales commissions, employee bonuses, benefits, and other employee related expenses.</w:t>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(3)Other segment items include third-party consulting services and professional services, software and infrastructure, hosting, marketing and advertising, and other income and other expenses.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All of the Company’s long-lived assets were located in the U.S., and all revenue was earned in the U.S. as of December 31, 2025 and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10.Income Taxes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geographical distribution of its losses before provision for income taxes during each period relates to the U.S. The Company did not record a provision for income tax expense or benefit for the three months ended March 31,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450"/>
        <w:jc w:val="left"/>
        <w:rPr>
          <w:rFonts w:ascii="Times New Roman;serif" w:hAnsi="Times New Roman;serif"/>
          <w:b/>
          <w:color w:val="000000"/>
          <w:sz w:val="20"/>
        </w:rPr>
      </w:pPr>
      <w:r>
        <w:rPr>
          <w:rFonts w:ascii="Times New Roman;serif" w:hAnsi="Times New Roman;serif"/>
          <w:b/>
          <w:color w:val="000000"/>
          <w:sz w:val="20"/>
        </w:rPr>
        <w:t>11.Net Loss Per Share Attributable to Common Stockholders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share attributable to common stockholders was calculated as follows (in thousands, except per-share amounts):</w:t>
      </w:r>
    </w:p>
    <w:tbl>
      <w:tblPr>
        <w:tblW w:w="10205" w:type="dxa"/>
        <w:jc w:val="left"/>
        <w:tblInd w:w="0" w:type="dxa"/>
        <w:tblLayout w:type="fixed"/>
        <w:tblCellMar>
          <w:top w:w="28" w:type="dxa"/>
          <w:left w:w="28" w:type="dxa"/>
          <w:bottom w:w="28" w:type="dxa"/>
          <w:right w:w="28" w:type="dxa"/>
        </w:tblCellMar>
      </w:tblPr>
      <w:tblGrid>
        <w:gridCol w:w="2789"/>
        <w:gridCol w:w="2295"/>
        <w:gridCol w:w="2308"/>
        <w:gridCol w:w="213"/>
        <w:gridCol w:w="675"/>
        <w:gridCol w:w="110"/>
        <w:gridCol w:w="110"/>
        <w:gridCol w:w="110"/>
        <w:gridCol w:w="110"/>
        <w:gridCol w:w="213"/>
        <w:gridCol w:w="675"/>
        <w:gridCol w:w="110"/>
        <w:gridCol w:w="109"/>
        <w:gridCol w:w="109"/>
        <w:gridCol w:w="109"/>
        <w:gridCol w:w="160"/>
      </w:tblGrid>
      <w:tr>
        <w:trPr/>
        <w:tc>
          <w:tcPr>
            <w:tcW w:w="2789"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7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used in computing net income (loss) per share attributable to common stockholders, basic and diluted</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 basic and diluted</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the Company was in a net loss position for the three months ended March 31, 2026 and 2025, basic net loss per share is the same as diluted net loss per share as the inclusion of all potential shares of common stock outstanding would have been anti-dilutive. Potentially dilutive securities that were not included in the diluted per-share calculations because they would have been anti-dilutive were as follows (in thousands): </w:t>
      </w:r>
    </w:p>
    <w:tbl>
      <w:tblPr>
        <w:tblW w:w="9010" w:type="dxa"/>
        <w:jc w:val="left"/>
        <w:tblInd w:w="0" w:type="dxa"/>
        <w:tblLayout w:type="fixed"/>
        <w:tblCellMar>
          <w:top w:w="28" w:type="dxa"/>
          <w:left w:w="28" w:type="dxa"/>
          <w:bottom w:w="28" w:type="dxa"/>
          <w:right w:w="28" w:type="dxa"/>
        </w:tblCellMar>
      </w:tblPr>
      <w:tblGrid>
        <w:gridCol w:w="2207"/>
        <w:gridCol w:w="1938"/>
        <w:gridCol w:w="1944"/>
        <w:gridCol w:w="500"/>
        <w:gridCol w:w="259"/>
        <w:gridCol w:w="259"/>
        <w:gridCol w:w="259"/>
        <w:gridCol w:w="259"/>
        <w:gridCol w:w="259"/>
        <w:gridCol w:w="500"/>
        <w:gridCol w:w="259"/>
        <w:gridCol w:w="367"/>
      </w:tblGrid>
      <w:tr>
        <w:trPr/>
        <w:tc>
          <w:tcPr>
            <w:tcW w:w="2207"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on an as-converted basis</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39,406 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options outstanding</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12,250 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outstanding</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warrants on an as-converted basis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13,844 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51,958 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12. Subsequent Events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for recognition and measurement purposes through May 8, 2026, which is the date the condensed consolidated financial statements were available to be issued.</w:t>
      </w:r>
    </w:p>
    <w:p>
      <w:pPr>
        <w:pStyle w:val="TextBody"/>
        <w:bidi w:val="0"/>
        <w:spacing w:before="0" w:after="24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condensed consolidated financial statements and the related notes included elsewhere in this Quarterly Report on Form 10-Q. This discussion contains forward-looking statements that involve risks and uncertainties. Our actual results could differ materially from management’s expectations as a result of various factors, including, but not limited to, those discussed in the sections titled “Risk Factors” and “Cautionary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mission is to bend the curve. Our hope is that, one day, tomorrow’s epidemiologists will notice a bend in disease curves, wonder what might be happening, and conclude that part of that impact has been Omada. As part of that mission, we strive to inspire and enable people to make lasting health changes on their own terms. We launched our initial program in diabetes prevention and weight health in 2012, with the goal of showing that a virtual program could achieve the same clinical results as its in-person archetype. Today, we offer cardiometabolic programs for prediabetes, diabetes, hypertension, and high cholesterol; a physical therapy program to address musculoskeletal (“MSK”) conditions; additional support for members taking glucagon-like peptide-1 agonists (“GLP-1”) in our cardiometabolic programs (“GLP-1 Care Tracks”); and behavioral health support across all programs. As of March 31, 2026, we had over 1,025,000 total members enrolled in one or more programs, surpassing one million total members for the first time.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virtual care programs are rooted in evidence and combine relationship-based, human-led clinical care with purpose-built technology. We call this approach Compassionate Intelligence. Our Care Teams, composed of health coaches, select relevant specialists, and licensed physical therapists, depending on the program, deliver healthcare to our members within the scope of their credentials. Our prescribing capability also incorporates third-party licensed obesity care providers for prescribing anti-obesity medications (“AOMs”) and related medication management, expanding the ways in which we can support customers and channel partners across a broader range of GLP-1 access models. Omada Care Teams are supported by our proprietary Care Team Platform that is purpose-built to magnify the impact of our Between-Visit Care model and drive operational excellence in a trusted and secure way. Broadly, our integrated technology platform supports activities across the entire lifecycle of our work with customers, channel partners, and members: from benefit eligibility confirmation and enrollment outreach to application and member onboarding, device management and fulfillment, member-facing tools and applications, Care Team tools, data capture and storage, and platform and billing infrastructure. The investments in our technology and Care Team Platform have enabled us to scale and serve over two million members since launch, while maintaining the ability to deliver an exceptional member experience, with high clinical quality and consistency.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our future growth, success, and performance are dependent on many factors, including those set forth below. While these factors present significant opportunities for us, they also represent the challenges that we must successfully address in order to grow our business and improve our results of operations.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Acquisition of New Customers and Channel Partners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there is substantial opportunity to further grow our base of customers and channel partners in our large addressable market. Historically, we have relied on a limited number of customers and channel partners, including employers, health plans, pharmacy benefit managers (“PBMs”), health systems, and government entities, for a substantial portion of our total sales. Our customers include employers that cover our programs for their employees and their dependents and health systems that cover our programs for patients, among other types of customers. In addition, our channel partners, which include certain of the health plans, PBMs, and other entities that we work with, operate as resellers of our programs to their employer customers or other end customers, which can limit an end customer’s ability to continue purchasing our programs if the customer no longer works with a particular channel partner. Some of the health plans and PBMs we work with as channel partners also cover our programs directly, for a portion of their own members, as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seek to grow our business by acquiring more covered lives across multiple buyer categories: selling to new customers and channel partners as well as expanding within our existing channel partners to new lines of business. Our diverse go-to-market strategy affords us flexibility to pursue growth via multiple distinct channels, including across PBM, health plan, and employer pathways, and through new channels and in lines of business where we have yet to place significant focus, such as Medicare Advantage.</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Customer and Channel Partner Retention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increase revenue depends on maintaining and deepening relationships with customers and channel partners over time, driving both renewal revenue and expansion revenue as customers and channel partners add new programs to provide to their member base. We have invested and plan to continue to invest across our data, analytics, operations, and customer success capabilities to build the infrastructure that supports our go-to-market approach. </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Program Expansion within Existing Customer Base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the ability to grow the relative amount of revenue that we generate from existing customers is a key driver of long-term growth. We have seen significant expansion over time as existing customers and channel partners have added our newer programs, such as Diabetes, Hypertension, and Cholesterol, and we remain focused on driving multi-program adoption as a key growth lever. We believe that increased customer focus on GLP-1s and weight health may also support broader adoption of our cardiometabolic offerings over time. There is still opportunity to continue multi-condition expansion.</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Member Enrollment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Having served over two million members since launch, there is still significant opportunity to enroll more members. We are focused on achieving higher enrollment rates by helping more customers and channel partners adopt our enrollment outreach best practices, including enabling Omada-led enrollment outreach campaigns, implementing strategies to reach individuals with known risk, and evaluating new enrollment strategies and channels.</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Member Engagement and Outcomes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Member engagement in our programs and the clinical outcomes and cost savings of our offerings affect the market acceptance and adoption of our programs. Most of our customers pay fees to us based on member enrollment and/or engagement with our programs, and our contracts generally may provide that we are obligated to repay a portion of our fees if our programs fail to deliver certain member engagement targets, clinical outcomes, or cost savings. We are focused on continuing to provide engaging content and tools, foster meaningful personal connections, and demonstrate positive clinical outcomes for our members.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Investments in Growth</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to continue to focus on long-term growth of our core business, while selectively investing in areas that enhance our platform, programs, or operations. Though our focus remains on continued progress in our current care areas, we monitor the needs of our customers and channel partners, and we believe we are well positioned to respond to their requirements organically or, where appropriate, to add new capabilities through partnerships and potential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Metric</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monitor the following key metric to help us evaluate our business, measure our performance, identify trends affecting our business, formulate business plans, and make strategic decisions.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Total Members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member is a person who is enrolled in one of our virtual care programs and that generated a billing event in the preceding 12 months. We believe growth in the number of members is a key indicator of the performance of our business for both investors and management as we monitor the performance of our business, as members primarily drive services revenue. The number of members depends, in part, on our ability to successfully market our services to new customers and channel partners, our ability to sell additional programs to existing customers and channel partners, and our ability to promote awareness of our programs among covered individuals and to encourage their enrollment.</w:t>
      </w:r>
    </w:p>
    <w:tbl>
      <w:tblPr>
        <w:tblW w:w="4401" w:type="dxa"/>
        <w:jc w:val="left"/>
        <w:tblInd w:w="0" w:type="dxa"/>
        <w:tblLayout w:type="fixed"/>
        <w:tblCellMar>
          <w:top w:w="28" w:type="dxa"/>
          <w:left w:w="28" w:type="dxa"/>
          <w:bottom w:w="28" w:type="dxa"/>
          <w:right w:w="28" w:type="dxa"/>
        </w:tblCellMar>
      </w:tblPr>
      <w:tblGrid>
        <w:gridCol w:w="488"/>
        <w:gridCol w:w="429"/>
        <w:gridCol w:w="432"/>
        <w:gridCol w:w="309"/>
        <w:gridCol w:w="309"/>
        <w:gridCol w:w="313"/>
        <w:gridCol w:w="141"/>
        <w:gridCol w:w="141"/>
        <w:gridCol w:w="141"/>
        <w:gridCol w:w="259"/>
        <w:gridCol w:w="259"/>
        <w:gridCol w:w="263"/>
        <w:gridCol w:w="109"/>
        <w:gridCol w:w="109"/>
        <w:gridCol w:w="109"/>
        <w:gridCol w:w="109"/>
        <w:gridCol w:w="109"/>
        <w:gridCol w:w="109"/>
        <w:gridCol w:w="109"/>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Members</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1,025,000</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Components of Results of Operations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services revenue from our customers by providing access to our virtual care programs in which our Care Teams implement clinically validated behavior change protocols for individuals living with prediabetes and weight management issues, diabetes, and hypertension (collectively referred to as “cardiometabolic” conditions) and MSK conditions over the term of the program. Our MSK program generally includes a fixed, upfront consultation fee and an additional fee for members that opt in to a physical therapist-guided treatment plan. We use a number of pricing models for our cardiometabolic programs. In general, our legacy pricing models for cardiometabolic programs may include a fixed, upfront enrollment fee and include variable monthly fees which are based on either outcomes or milestones for the respective member service period. In general, our latest pricing models for cardiometabolic programs are based on the respective member’s level of activity in the program. Each month, members that have completed a minimum number of qualifying activities during an agreed-upon backward-looking measurement period are considered billable members. The length of the measurement period and the qualifying activities may vary based on negotiations with customers and channel partners. Most activity measurement periods are defined as the preceding three or six months, and in most cases, members are considered active if they complete three activities during that period, such as logging in or interacting with the Omada mobile app, sending messages to Omada Care Team members, or recording metrics such as weight, blood pressure, or blood glucose values.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price for Omada for Diabetes and Omada for Hypertension is generally higher than the price for Omada for Prevention &amp; Weight Health to account for the higher costs of delivering those programs, including additional included devices and increased Care Team support appropriate for those conditions. We typically bill for our services monthly, in arrears. We recognize a portion of revenue upfront upon hardware delivery or initial consultation and the remaining revenue over the period members have access to our virtual care programs. In general, among our members in cardiometabolic programs, members in Omada for Diabetes and Omada for Hypertension remain active and enrolled in our programs for longer periods than members in Omada for Prevention &amp; Weight Health. In addition to the overall number of members, our quarterly revenues reflect the mix of members enrolled in our various programs and the pricing models for these programs.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from or through our top five health plan and PBM partners, including any sales to these entities as customers and sales through these entities as channel partners, represented 78% and 73% of our revenue for the three months ended March 31,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Significant customers and channel partners are those which represent 10% or more of the accounts receivable balance or revenue for the periods presented. Customers and channel partners that accounted for 10% or more of accounts receivable, net as of March 31, 2026 and December 31, 2025 or 10% or more of revenue as of and for the three months ended March 31, 2026 and 2025 were as follows:</w:t>
      </w:r>
    </w:p>
    <w:tbl>
      <w:tblPr>
        <w:tblW w:w="7311" w:type="dxa"/>
        <w:jc w:val="left"/>
        <w:tblInd w:w="0" w:type="dxa"/>
        <w:tblLayout w:type="fixed"/>
        <w:tblCellMar>
          <w:top w:w="28" w:type="dxa"/>
          <w:left w:w="28" w:type="dxa"/>
          <w:bottom w:w="28" w:type="dxa"/>
          <w:right w:w="28" w:type="dxa"/>
        </w:tblCellMar>
      </w:tblPr>
      <w:tblGrid>
        <w:gridCol w:w="315"/>
        <w:gridCol w:w="277"/>
        <w:gridCol w:w="278"/>
        <w:gridCol w:w="281"/>
        <w:gridCol w:w="281"/>
        <w:gridCol w:w="698"/>
        <w:gridCol w:w="159"/>
        <w:gridCol w:w="159"/>
        <w:gridCol w:w="159"/>
        <w:gridCol w:w="334"/>
        <w:gridCol w:w="334"/>
        <w:gridCol w:w="832"/>
        <w:gridCol w:w="109"/>
        <w:gridCol w:w="109"/>
        <w:gridCol w:w="109"/>
        <w:gridCol w:w="200"/>
        <w:gridCol w:w="200"/>
        <w:gridCol w:w="498"/>
        <w:gridCol w:w="200"/>
        <w:gridCol w:w="200"/>
        <w:gridCol w:w="200"/>
        <w:gridCol w:w="200"/>
        <w:gridCol w:w="200"/>
        <w:gridCol w:w="498"/>
        <w:gridCol w:w="109"/>
        <w:gridCol w:w="109"/>
        <w:gridCol w:w="109"/>
        <w:gridCol w:w="154"/>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481" w:type="dxa"/>
            <w:gridSpan w:val="4"/>
            <w:tcBorders/>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Partner A</w:t>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Partner B</w:t>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6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8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Each of these health plans or PBMs are affiliates of The Cigna Group.</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revenue consists of expenses that are directly related to or closely correlated to the delivery of our virtual care programs and member support. Cost of services revenue includes salaries, share-based compensation expense, bonuses, benefits, travel, and meals and entertainment expenses (collectively, “personnel costs”), data server management expense, hosting costs, connectivity fees for cellular devices, and the amortization of capitalized internal-use software and developed technology. Cost of hardware revenue includes equipment costs, shipping and logistics costs, and provisions for excess and obsolete inventory. Most of the devices delivered in connection with our programs are manufactured in the Dominican Republic and China and may be manufactured in other international markets in the future, and we expect that the prices of these devices may increase as a result of recent tariffs and any new or increased tariffs in the future. In addition, the war in Iran has resulted in modest increases to device-related costs to date due to increased shipping costs.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profit is total revenue less total cost of revenue. Gross margin is gross profit expressed as a percentage of revenue. Gross profit and gross margin have been and will continue to be affected by various factors, including the acquisition of new customers and channel partners, renewals of existing agreements, sales of additional programs to our existing customers, the mix of programs covered by our customers and channel partners and members enrolled in those programs, the timing of members enrolling in our programs, the costs associated with third-party data server management and third-party hosting services, costs of hardware, economies of scale, and the extent to which we introduce new features or functionality or expand our Care Teams and hire other additional personnel.</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operating expenses consist of research and development (“R&amp;D”), sales and marketing, and general and administrative expenses. Personnel costs are the most significant component of operating expenses. Operating expenses also include professional and consulting services and the allocation of shared general corporate expenses primarily related to technology.</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R&amp;D expenses support our efforts to add new features and content to our programs and to ensure the reliability and scalability of our virtual care platform. R&amp;D expenses consist primarily of personnel costs and the allocation of shared general corporate expenses primarily related to technology. R&amp;D costs are expensed as incurred.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to make continued investments in our virtual care platform in connection with our future growth.</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consist of personnel costs, commissions for our sales and marketing teams, administrative and marketing fees that we pay to channel partners for their services, promotional marketing materials, and advertising costs. Sales and marketing expenses also include costs for third-party consulting services and the allocation of shared general corporate expenses primarily related to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sales and marketing teams are responsible for growing and maintaining our relationships with customers and channel partners and increasing enrollments.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of personnel costs for our finance, legal, compliance, human resources, and administrative teams, software and infrastructure costs, professional fees, and the allocation of shared general corporate expenses primarily related to technology.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general and administrative expenses to increase in absolute dollars as we grow our operations and incur additional expenses associated with operating as a public company. Increased expenses as a result of operating as a public company include expenses necessary to comply with the rules and regulations applicable to companies listed on a national securities exchange and related compliance and reporting obligations pursuant to the rules and regulations of the SEC, as well as higher expenses for general and director and officer insurance, investor relations, and other third-party consulting services.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income consists of income earned on our cash and cash equivalents.</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consists of interest costs associated with our debt financing, including amortization of debt issuance costs.</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Change in Fair Value of Warrant Liabilities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classify our redeemable convertible preferred stock warrants and common stock warrants as liabilities on our condensed consolidated balance sheets. We remeasure the warrant liabilities to fair value at each reporting date and recognize changes in the fair value of the warrant liabilities in our consolidated statements of operations. We adjusted the warrant liabilities for changes in fair value until the exercise of the redeemable convertible preferred stock warrants and common stock warrants.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U.S. federal, state, and local jurisdictions in which we conduct business. We maintain a full valuation allowance on our federal and state deferred tax assets as we have concluded that it is not more likely than not that the deferred tax assets will be realized.</w:t>
      </w:r>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We account for uncertain tax positions in accordance with Accounting Standards Codification (“ASC”) 740-10, </w:t>
      </w:r>
      <w:r>
        <w:rPr>
          <w:rFonts w:ascii="Times New Roman;serif" w:hAnsi="Times New Roman;serif"/>
          <w:b w:val="false"/>
          <w:i/>
          <w:color w:val="000000"/>
          <w:sz w:val="20"/>
        </w:rPr>
        <w:t>Accounting for Uncertainty in Income Taxes</w:t>
      </w:r>
      <w:r>
        <w:rPr>
          <w:rFonts w:ascii="Times New Roman;serif" w:hAnsi="Times New Roman;serif"/>
          <w:b w:val="false"/>
          <w:color w:val="000000"/>
          <w:sz w:val="20"/>
        </w:rPr>
        <w:t>. We recognize the tax effects of an uncertain tax position only if it is more likely than not to be sustained based solely on its technical merits as of the reporting date and only in an amount more likely than not to be sustained upon review by the tax authorities. Interest and penalties related to uncertain tax positions are classified in the condensed consolidated financial statements as income tax expense.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remains subject to examination by U.S. federal and state taxing authorities for all tax years since inception, as net operating loss carryforwards remain subject to adjustment.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“OBBBA”) was enacted in the U.S. The OBBBA includes significant provisions, including changes to the treatment of research and development expenditures under Section 174 of the Internal Revenue Code of 1986, as amended (the “Code”), modifications to the business interest expense limitation, and updates to depreciation rules, among others. Certain provisions are effective beginning in 2025, while others are phased in through 2027.</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OBBBA and newly enacted Section 174A of the Code, taxpayers may accelerate the recovery of previously capitalized domestic research and development expenditures that remained unamortized as of 2025, either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entirely in 2025 or ratably over 2025 and 2026. We have elected to recover these costs ratably over 2025 and 2026 and recognized a deduction of approximately $36.1 million in 2025 to such expenditures.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state jurisdictions have not conformed to the OBBBA or have adopted different approaches to the treatment of expenditures under Section 174 of the Code. We have considered the impact of state conformity in material jurisdictions for purposes of determining its income tax provision. The ultimate tax treatment of these items will be finalized upon the filing of our income tax returns.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provisions of the OBBBA, including changes to bonus depreciation and international tax rules, did not have a material impact on our consolidated financial statements due to taxable losses, a full valuation allowance on deferred tax assets, or inapplicability to our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each of the periods presented:</w:t>
      </w:r>
    </w:p>
    <w:tbl>
      <w:tblPr>
        <w:tblW w:w="6962" w:type="dxa"/>
        <w:jc w:val="left"/>
        <w:tblInd w:w="0" w:type="dxa"/>
        <w:tblLayout w:type="fixed"/>
        <w:tblCellMar>
          <w:top w:w="28" w:type="dxa"/>
          <w:left w:w="28" w:type="dxa"/>
          <w:bottom w:w="28" w:type="dxa"/>
          <w:right w:w="28" w:type="dxa"/>
        </w:tblCellMar>
      </w:tblPr>
      <w:tblGrid>
        <w:gridCol w:w="1250"/>
        <w:gridCol w:w="1101"/>
        <w:gridCol w:w="1114"/>
        <w:gridCol w:w="211"/>
        <w:gridCol w:w="721"/>
        <w:gridCol w:w="109"/>
        <w:gridCol w:w="109"/>
        <w:gridCol w:w="109"/>
        <w:gridCol w:w="109"/>
        <w:gridCol w:w="211"/>
        <w:gridCol w:w="721"/>
        <w:gridCol w:w="109"/>
        <w:gridCol w:w="109"/>
        <w:gridCol w:w="109"/>
        <w:gridCol w:w="109"/>
        <w:gridCol w:w="761"/>
      </w:tblGrid>
      <w:tr>
        <w:trPr/>
        <w:tc>
          <w:tcPr>
            <w:tcW w:w="125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gridSpan w:val="2"/>
            <w:tcBorders/>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gridSpan w:val="2"/>
            <w:tcBorders/>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540"/>
              <w:jc w:val="left"/>
              <w:rPr>
                <w:color w:val="000000"/>
              </w:rPr>
            </w:pPr>
            <w:r>
              <w:rPr>
                <w:color w:val="000000"/>
              </w:rPr>
              <w:t> </w:t>
            </w:r>
            <w:r>
              <w:rPr>
                <w:rFonts w:ascii="Times New Roman;serif" w:hAnsi="Times New Roman;serif"/>
                <w:b w:val="false"/>
                <w:color w:val="000000"/>
                <w:sz w:val="20"/>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Services</w:t>
            </w:r>
            <w:r>
              <w:rPr>
                <w:rFonts w:ascii="Times New Roman;serif" w:hAnsi="Times New Roman;serif"/>
                <w:b w:val="false"/>
                <w:color w:val="000000"/>
                <w:sz w:val="13"/>
              </w:rPr>
              <w:t>(1)(2)(3)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ind w:left="0" w:right="0" w:firstLine="630"/>
              <w:jc w:val="left"/>
              <w:rPr>
                <w:sz w:val="4"/>
                <w:szCs w:val="4"/>
              </w:rPr>
            </w:pPr>
            <w:r>
              <w:rPr>
                <w:sz w:val="4"/>
                <w:szCs w:val="4"/>
              </w:rPr>
            </w:r>
          </w:p>
        </w:tc>
      </w:tr>
      <w:tr>
        <w:trPr/>
        <w:tc>
          <w:tcPr>
            <w:tcW w:w="3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(1)(2)(3)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ind w:left="0" w:right="0" w:firstLine="630"/>
              <w:jc w:val="left"/>
              <w:rPr>
                <w:sz w:val="4"/>
                <w:szCs w:val="4"/>
              </w:rPr>
            </w:pPr>
            <w:r>
              <w:rPr>
                <w:sz w:val="4"/>
                <w:szCs w:val="4"/>
              </w:rPr>
            </w:r>
          </w:p>
        </w:tc>
      </w:tr>
      <w:tr>
        <w:trPr/>
        <w:tc>
          <w:tcPr>
            <w:tcW w:w="3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ind w:left="0" w:right="0" w:firstLine="630"/>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share-based compensation expense as follows:</w:t>
      </w:r>
    </w:p>
    <w:tbl>
      <w:tblPr>
        <w:tblW w:w="6314" w:type="dxa"/>
        <w:jc w:val="left"/>
        <w:tblInd w:w="0" w:type="dxa"/>
        <w:tblLayout w:type="fixed"/>
        <w:tblCellMar>
          <w:top w:w="28" w:type="dxa"/>
          <w:left w:w="28" w:type="dxa"/>
          <w:bottom w:w="28" w:type="dxa"/>
          <w:right w:w="28" w:type="dxa"/>
        </w:tblCellMar>
      </w:tblPr>
      <w:tblGrid>
        <w:gridCol w:w="1242"/>
        <w:gridCol w:w="1093"/>
        <w:gridCol w:w="1099"/>
        <w:gridCol w:w="230"/>
        <w:gridCol w:w="672"/>
        <w:gridCol w:w="119"/>
        <w:gridCol w:w="119"/>
        <w:gridCol w:w="119"/>
        <w:gridCol w:w="119"/>
        <w:gridCol w:w="230"/>
        <w:gridCol w:w="672"/>
        <w:gridCol w:w="119"/>
        <w:gridCol w:w="109"/>
        <w:gridCol w:w="109"/>
        <w:gridCol w:w="109"/>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revenue</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(2)Includes amortization of intangible assets as follows:</w:t>
      </w:r>
    </w:p>
    <w:tbl>
      <w:tblPr>
        <w:tblW w:w="6482" w:type="dxa"/>
        <w:jc w:val="left"/>
        <w:tblInd w:w="0" w:type="dxa"/>
        <w:tblLayout w:type="fixed"/>
        <w:tblCellMar>
          <w:top w:w="28" w:type="dxa"/>
          <w:left w:w="28" w:type="dxa"/>
          <w:bottom w:w="28" w:type="dxa"/>
          <w:right w:w="28" w:type="dxa"/>
        </w:tblCellMar>
      </w:tblPr>
      <w:tblGrid>
        <w:gridCol w:w="1172"/>
        <w:gridCol w:w="1032"/>
        <w:gridCol w:w="1036"/>
        <w:gridCol w:w="266"/>
        <w:gridCol w:w="589"/>
        <w:gridCol w:w="137"/>
        <w:gridCol w:w="137"/>
        <w:gridCol w:w="137"/>
        <w:gridCol w:w="137"/>
        <w:gridCol w:w="266"/>
        <w:gridCol w:w="589"/>
        <w:gridCol w:w="137"/>
        <w:gridCol w:w="109"/>
        <w:gridCol w:w="109"/>
        <w:gridCol w:w="109"/>
        <w:gridCol w:w="520"/>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gridSpan w:val="2"/>
            <w:tcBorders/>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gridSpan w:val="2"/>
            <w:tcBorders/>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revenue</w:t>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ind w:left="0" w:right="0" w:firstLine="389"/>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of intangible assets</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(3)Includes depreciation and amortization as follows:</w:t>
      </w:r>
    </w:p>
    <w:tbl>
      <w:tblPr>
        <w:tblW w:w="6057" w:type="dxa"/>
        <w:jc w:val="left"/>
        <w:tblInd w:w="0" w:type="dxa"/>
        <w:tblLayout w:type="fixed"/>
        <w:tblCellMar>
          <w:top w:w="28" w:type="dxa"/>
          <w:left w:w="28" w:type="dxa"/>
          <w:bottom w:w="28" w:type="dxa"/>
          <w:right w:w="28" w:type="dxa"/>
        </w:tblCellMar>
      </w:tblPr>
      <w:tblGrid>
        <w:gridCol w:w="1150"/>
        <w:gridCol w:w="1012"/>
        <w:gridCol w:w="1018"/>
        <w:gridCol w:w="247"/>
        <w:gridCol w:w="721"/>
        <w:gridCol w:w="127"/>
        <w:gridCol w:w="127"/>
        <w:gridCol w:w="127"/>
        <w:gridCol w:w="127"/>
        <w:gridCol w:w="247"/>
        <w:gridCol w:w="546"/>
        <w:gridCol w:w="127"/>
        <w:gridCol w:w="109"/>
        <w:gridCol w:w="109"/>
        <w:gridCol w:w="109"/>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revenue</w:t>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 depreciation and amortization</w:t>
            </w:r>
            <w:r>
              <w:rPr>
                <w:rFonts w:ascii="Times New Roman;serif" w:hAnsi="Times New Roman;serif"/>
                <w:b w:val="false"/>
                <w:color w:val="000000"/>
                <w:sz w:val="13"/>
              </w:rPr>
              <w:t>(i)</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(i)Depreciation and amortization includes depreciation of property and equipment and amortization of capitalized internal-use software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Percentage of Revenue Data</w:t>
      </w:r>
    </w:p>
    <w:tbl>
      <w:tblPr>
        <w:tblW w:w="6839" w:type="dxa"/>
        <w:jc w:val="left"/>
        <w:tblInd w:w="0" w:type="dxa"/>
        <w:tblLayout w:type="fixed"/>
        <w:tblCellMar>
          <w:top w:w="28" w:type="dxa"/>
          <w:left w:w="28" w:type="dxa"/>
          <w:bottom w:w="28" w:type="dxa"/>
          <w:right w:w="28" w:type="dxa"/>
        </w:tblCellMar>
      </w:tblPr>
      <w:tblGrid>
        <w:gridCol w:w="1246"/>
        <w:gridCol w:w="1098"/>
        <w:gridCol w:w="1106"/>
        <w:gridCol w:w="258"/>
        <w:gridCol w:w="208"/>
        <w:gridCol w:w="498"/>
        <w:gridCol w:w="200"/>
        <w:gridCol w:w="200"/>
        <w:gridCol w:w="200"/>
        <w:gridCol w:w="258"/>
        <w:gridCol w:w="208"/>
        <w:gridCol w:w="498"/>
        <w:gridCol w:w="109"/>
        <w:gridCol w:w="109"/>
        <w:gridCol w:w="109"/>
        <w:gridCol w:w="534"/>
      </w:tblGrid>
      <w:tr>
        <w:trPr/>
        <w:tc>
          <w:tcPr>
            <w:tcW w:w="124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a percentage of revenue)</w:t>
            </w:r>
          </w:p>
        </w:tc>
        <w:tc>
          <w:tcPr>
            <w:tcW w:w="861" w:type="dxa"/>
            <w:gridSpan w:val="4"/>
            <w:tcBorders/>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cost of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ind w:left="0" w:right="0" w:firstLine="40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ind w:left="0" w:right="0" w:firstLine="40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ind w:left="0" w:right="0" w:firstLine="40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ind w:left="0" w:right="0" w:firstLine="40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ind w:left="0" w:right="0" w:firstLine="40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Total other income (expense), net</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Provision for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Comparison of the Three Months Ended March 31, 2026 and 2025</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Revenue</w:t>
      </w:r>
    </w:p>
    <w:tbl>
      <w:tblPr>
        <w:tblW w:w="7137" w:type="dxa"/>
        <w:jc w:val="left"/>
        <w:tblInd w:w="0" w:type="dxa"/>
        <w:tblLayout w:type="fixed"/>
        <w:tblCellMar>
          <w:top w:w="28" w:type="dxa"/>
          <w:left w:w="28" w:type="dxa"/>
          <w:bottom w:w="28" w:type="dxa"/>
          <w:right w:w="28" w:type="dxa"/>
        </w:tblCellMar>
      </w:tblPr>
      <w:tblGrid>
        <w:gridCol w:w="450"/>
        <w:gridCol w:w="395"/>
        <w:gridCol w:w="40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94"/>
        <w:gridCol w:w="194"/>
        <w:gridCol w:w="483"/>
        <w:gridCol w:w="109"/>
        <w:gridCol w:w="109"/>
        <w:gridCol w:w="109"/>
        <w:gridCol w:w="109"/>
        <w:gridCol w:w="109"/>
        <w:gridCol w:w="109"/>
        <w:gridCol w:w="109"/>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revenue increased by $23.1 million, or 42%, for the three months ended March 31, 2026 compared to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pPr>
      <w:r>
        <w:rPr>
          <w:rFonts w:ascii="Times New Roman;serif" w:hAnsi="Times New Roman;serif"/>
          <w:b w:val="false"/>
          <w:color w:val="000000"/>
          <w:sz w:val="20"/>
        </w:rPr>
        <w:t>Services revenue increased by $20.1 million, or 41%, for the three months ended March 31, 2026 compared to the three months ended March 31, 2025, primarily driven b</w:t>
      </w:r>
      <w:r>
        <w:rPr>
          <w:rFonts w:ascii="Times New Roman;serif" w:hAnsi="Times New Roman;serif"/>
          <w:b w:val="false"/>
          <w:color w:val="000000"/>
          <w:sz w:val="20"/>
          <w:shd w:fill="FFFFFF" w:val="clear"/>
        </w:rPr>
        <w:t xml:space="preserve">y an increase of $24.1 million related to growth in total members due to </w:t>
      </w:r>
      <w:r>
        <w:rPr>
          <w:rFonts w:ascii="Times New Roman;serif" w:hAnsi="Times New Roman;serif"/>
          <w:b w:val="false"/>
          <w:color w:val="000000"/>
          <w:sz w:val="20"/>
        </w:rPr>
        <w:t>acquisition of new customers and channel partners, sales of additional programs to our existing customers and continued progress in enrollment effectiveness</w:t>
      </w:r>
      <w:r>
        <w:rPr>
          <w:rFonts w:ascii="Times New Roman;serif" w:hAnsi="Times New Roman;serif"/>
          <w:b w:val="false"/>
          <w:color w:val="000000"/>
          <w:sz w:val="20"/>
          <w:shd w:fill="FFFFFF" w:val="clear"/>
        </w:rPr>
        <w:t>, with the average number of total members during the three months ended March 31, 2026 increasing by 51% compared to the average for the three months ended March 31, 2025.</w:t>
      </w:r>
      <w:r>
        <w:rPr>
          <w:color w:val="000000"/>
        </w:rPr>
        <w:t xml:space="preserve"> </w:t>
      </w:r>
      <w:r>
        <w:rPr>
          <w:rFonts w:ascii="Times New Roman;serif" w:hAnsi="Times New Roman;serif"/>
          <w:b w:val="false"/>
          <w:color w:val="000000"/>
          <w:sz w:val="20"/>
        </w:rPr>
        <w:t>The increase was partially offset by a $3.8 million aggregate decrease in average fees per member.</w:t>
      </w:r>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Hardware revenue increased by $3.0 million, or 55%, for the three months ended March 31, 2026 compared to the three months ended March 31, 2025, primarily driven by </w:t>
      </w:r>
      <w:r>
        <w:rPr>
          <w:rFonts w:ascii="Times New Roman;serif" w:hAnsi="Times New Roman;serif"/>
          <w:b w:val="false"/>
          <w:color w:val="000000"/>
          <w:sz w:val="20"/>
          <w:shd w:fill="FFFFFF" w:val="clear"/>
        </w:rPr>
        <w:t>a 51% increase in total members, reflecting new members enrolled in our programs compared to the prior-year period, which directly drove the number of devices that we delivered.</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Cost of Revenue</w:t>
      </w:r>
    </w:p>
    <w:tbl>
      <w:tblPr>
        <w:tblW w:w="7616" w:type="dxa"/>
        <w:jc w:val="left"/>
        <w:tblInd w:w="0" w:type="dxa"/>
        <w:tblLayout w:type="fixed"/>
        <w:tblCellMar>
          <w:top w:w="28" w:type="dxa"/>
          <w:left w:w="28" w:type="dxa"/>
          <w:bottom w:w="28" w:type="dxa"/>
          <w:right w:w="28" w:type="dxa"/>
        </w:tblCellMar>
      </w:tblPr>
      <w:tblGrid>
        <w:gridCol w:w="661"/>
        <w:gridCol w:w="580"/>
        <w:gridCol w:w="588"/>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94"/>
        <w:gridCol w:w="194"/>
        <w:gridCol w:w="483"/>
        <w:gridCol w:w="109"/>
        <w:gridCol w:w="109"/>
        <w:gridCol w:w="109"/>
        <w:gridCol w:w="109"/>
        <w:gridCol w:w="109"/>
        <w:gridCol w:w="109"/>
        <w:gridCol w:w="109"/>
        <w:gridCol w:w="154"/>
      </w:tblGrid>
      <w:tr>
        <w:trPr/>
        <w:tc>
          <w:tcPr>
            <w:tcW w:w="66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cost of revenue increased by $6.3 million, or 27%, for the three months ended March 31, 2026 compared to the three months ended March 31, 2025.</w:t>
      </w:r>
    </w:p>
    <w:p>
      <w:pPr>
        <w:pStyle w:val="TextBody"/>
        <w:bidi w:val="0"/>
        <w:spacing w:lineRule="auto" w:line="288" w:before="0" w:after="240"/>
        <w:ind w:left="0" w:right="0" w:firstLine="450"/>
        <w:jc w:val="both"/>
        <w:rPr/>
      </w:pPr>
      <w:r>
        <w:rPr>
          <w:rFonts w:ascii="Times New Roman;serif" w:hAnsi="Times New Roman;serif"/>
          <w:b w:val="false"/>
          <w:color w:val="000000"/>
          <w:sz w:val="20"/>
        </w:rPr>
        <w:t>Cost of services revenue increased by $1.7 million, or 13%, for the three months ended March 31, 2026 compared to the three months ended March 31, 2025, primarily driven by</w:t>
      </w:r>
      <w:r>
        <w:rPr>
          <w:color w:val="000000"/>
          <w:shd w:fill="FFFFFF" w:val="clear"/>
        </w:rPr>
        <w:t xml:space="preserve"> </w:t>
      </w:r>
      <w:r>
        <w:rPr>
          <w:rFonts w:ascii="Times New Roman;serif" w:hAnsi="Times New Roman;serif"/>
          <w:b w:val="false"/>
          <w:color w:val="000000"/>
          <w:sz w:val="20"/>
          <w:shd w:fill="FFFFFF" w:val="clear"/>
        </w:rPr>
        <w:t xml:space="preserve">a $0.9 million increase in personnel costs related to </w:t>
      </w:r>
      <w:r>
        <w:rPr>
          <w:rFonts w:ascii="Times New Roman;serif" w:hAnsi="Times New Roman;serif"/>
          <w:b w:val="false"/>
          <w:color w:val="000000"/>
          <w:sz w:val="20"/>
        </w:rPr>
        <w:t>our Care Teams, reflecting additional care activities in onboarding the higher number of new members enrolled in our programs compared to the prior-year period, and a $0.6 million increase in technology infrastructure expenses</w:t>
      </w:r>
      <w:r>
        <w:rPr>
          <w:rFonts w:ascii="Times New Roman;serif" w:hAnsi="Times New Roman;serif"/>
          <w:b w:val="false"/>
          <w:color w:val="000000"/>
          <w:sz w:val="20"/>
          <w:shd w:fill="FFFFFF" w:val="clear"/>
        </w:rPr>
        <w:t>.</w:t>
      </w:r>
    </w:p>
    <w:p>
      <w:pPr>
        <w:pStyle w:val="TextBody"/>
        <w:bidi w:val="0"/>
        <w:spacing w:lineRule="auto" w:line="288" w:before="0" w:after="240"/>
        <w:ind w:left="0" w:right="0" w:firstLine="450"/>
        <w:jc w:val="both"/>
        <w:rPr/>
      </w:pPr>
      <w:r>
        <w:rPr>
          <w:rFonts w:ascii="Times New Roman;serif" w:hAnsi="Times New Roman;serif"/>
          <w:b w:val="false"/>
          <w:color w:val="000000"/>
          <w:sz w:val="20"/>
        </w:rPr>
        <w:t>Cost of hardware revenue increased by $4.6 million, or 44%, for the three months ended March 31, 2026 compared to the three months ended March 31, 2025, primarily driven by</w:t>
      </w:r>
      <w:r>
        <w:rPr>
          <w:color w:val="000000"/>
          <w:shd w:fill="FFFFFF" w:val="clear"/>
        </w:rPr>
        <w:t xml:space="preserve"> </w:t>
      </w:r>
      <w:r>
        <w:rPr>
          <w:rFonts w:ascii="Times New Roman;serif" w:hAnsi="Times New Roman;serif"/>
          <w:b w:val="false"/>
          <w:color w:val="000000"/>
          <w:sz w:val="20"/>
          <w:shd w:fill="FFFFFF" w:val="clear"/>
        </w:rPr>
        <w:t>a 51% increase in total members, reflecting new members enrolled in our programs compared to the prior-year period, which drove new devices, supplies, and fulfillment costs, which include tariffs, compared to the prior period.</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Gross Profit and Gross Margin</w:t>
      </w:r>
    </w:p>
    <w:tbl>
      <w:tblPr>
        <w:tblW w:w="6983" w:type="dxa"/>
        <w:jc w:val="left"/>
        <w:tblInd w:w="0" w:type="dxa"/>
        <w:tblLayout w:type="fixed"/>
        <w:tblCellMar>
          <w:top w:w="28" w:type="dxa"/>
          <w:left w:w="28" w:type="dxa"/>
          <w:bottom w:w="28" w:type="dxa"/>
          <w:right w:w="28" w:type="dxa"/>
        </w:tblCellMar>
      </w:tblPr>
      <w:tblGrid>
        <w:gridCol w:w="429"/>
        <w:gridCol w:w="376"/>
        <w:gridCol w:w="380"/>
        <w:gridCol w:w="266"/>
        <w:gridCol w:w="245"/>
        <w:gridCol w:w="483"/>
        <w:gridCol w:w="109"/>
        <w:gridCol w:w="109"/>
        <w:gridCol w:w="109"/>
        <w:gridCol w:w="266"/>
        <w:gridCol w:w="245"/>
        <w:gridCol w:w="483"/>
        <w:gridCol w:w="109"/>
        <w:gridCol w:w="109"/>
        <w:gridCol w:w="109"/>
        <w:gridCol w:w="211"/>
        <w:gridCol w:w="721"/>
        <w:gridCol w:w="109"/>
        <w:gridCol w:w="109"/>
        <w:gridCol w:w="109"/>
        <w:gridCol w:w="109"/>
        <w:gridCol w:w="194"/>
        <w:gridCol w:w="194"/>
        <w:gridCol w:w="483"/>
        <w:gridCol w:w="109"/>
        <w:gridCol w:w="109"/>
        <w:gridCol w:w="109"/>
        <w:gridCol w:w="109"/>
        <w:gridCol w:w="109"/>
        <w:gridCol w:w="109"/>
        <w:gridCol w:w="109"/>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4.3ppt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pPr>
      <w:r>
        <w:rPr>
          <w:rFonts w:ascii="Times New Roman;serif" w:hAnsi="Times New Roman;serif"/>
          <w:b w:val="false"/>
          <w:color w:val="000000"/>
          <w:sz w:val="20"/>
        </w:rPr>
        <w:t>Gross profit increased by $16.8 million, or 53%, for the three months ended March 31, 2026 compared to the three months ended March 31, 2025, driven by</w:t>
      </w:r>
      <w:r>
        <w:rPr>
          <w:color w:val="000000"/>
          <w:shd w:fill="FFFFFF" w:val="clear"/>
        </w:rPr>
        <w:t xml:space="preserve"> </w:t>
      </w:r>
      <w:r>
        <w:rPr>
          <w:rFonts w:ascii="Times New Roman;serif" w:hAnsi="Times New Roman;serif"/>
          <w:b w:val="false"/>
          <w:color w:val="000000"/>
          <w:sz w:val="20"/>
          <w:shd w:fill="FFFFFF" w:val="clear"/>
        </w:rPr>
        <w:t>a 51% increase in total members and by a decrease in personnel costs per total member needed to support enrolled members as a result of strategic efficiency initiatives such as improving the effectiveness of our Care Team interventions and Care Team time management (“Care Team efficiency initiatives”), as well as the expanded use of supporting technologies, such as tools that can surface helpful templates for our Care Team’s consideration in frequently recurring scenarios (“Care Team message support”).</w:t>
      </w:r>
    </w:p>
    <w:p>
      <w:pPr>
        <w:pStyle w:val="TextBody"/>
        <w:bidi w:val="0"/>
        <w:spacing w:lineRule="auto" w:line="288" w:before="0" w:after="240"/>
        <w:ind w:left="0" w:right="0" w:firstLine="450"/>
        <w:jc w:val="both"/>
        <w:rPr/>
      </w:pPr>
      <w:r>
        <w:rPr>
          <w:rFonts w:ascii="Times New Roman;serif" w:hAnsi="Times New Roman;serif"/>
          <w:b w:val="false"/>
          <w:color w:val="000000"/>
          <w:sz w:val="20"/>
        </w:rPr>
        <w:t>Gross margin expanded by 4.3 percentage points for the three months ended March 31, 2026 compared to the three months ended March 31, 2025. The expansion of gross margin was primarily driven b</w:t>
      </w:r>
      <w:r>
        <w:rPr>
          <w:rFonts w:ascii="Times New Roman;serif" w:hAnsi="Times New Roman;serif"/>
          <w:b w:val="false"/>
          <w:color w:val="000000"/>
          <w:sz w:val="20"/>
          <w:shd w:fill="FFFFFF" w:val="clear"/>
        </w:rPr>
        <w:t>y lower personnel costs per total member needed to support enrolled members as a result of Care Team efficiency initiatives as well as the expanded use of supporting technologies, such as tools for Care Team message support.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7991" w:type="dxa"/>
        <w:jc w:val="left"/>
        <w:tblInd w:w="0" w:type="dxa"/>
        <w:tblLayout w:type="fixed"/>
        <w:tblCellMar>
          <w:top w:w="28" w:type="dxa"/>
          <w:left w:w="28" w:type="dxa"/>
          <w:bottom w:w="28" w:type="dxa"/>
          <w:right w:w="28" w:type="dxa"/>
        </w:tblCellMar>
      </w:tblPr>
      <w:tblGrid>
        <w:gridCol w:w="837"/>
        <w:gridCol w:w="734"/>
        <w:gridCol w:w="738"/>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194"/>
        <w:gridCol w:w="194"/>
        <w:gridCol w:w="483"/>
        <w:gridCol w:w="109"/>
        <w:gridCol w:w="109"/>
        <w:gridCol w:w="109"/>
        <w:gridCol w:w="109"/>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5" w:type="dxa"/>
            <w:gridSpan w:val="21"/>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increased by $3.9 million, or 44%, for the three months ended March 31, 2026 compared to the three months ended March 31, 2025, primarily driven by a $3.5 million increase in personnel costs related to an increase in headcount and a $0.4 million increase in technology infrastructure expenses. </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tbl>
      <w:tblPr>
        <w:tblW w:w="7541" w:type="dxa"/>
        <w:jc w:val="left"/>
        <w:tblInd w:w="0" w:type="dxa"/>
        <w:tblLayout w:type="fixed"/>
        <w:tblCellMar>
          <w:top w:w="28" w:type="dxa"/>
          <w:left w:w="28" w:type="dxa"/>
          <w:bottom w:w="28" w:type="dxa"/>
          <w:right w:w="28" w:type="dxa"/>
        </w:tblCellMar>
      </w:tblPr>
      <w:tblGrid>
        <w:gridCol w:w="634"/>
        <w:gridCol w:w="558"/>
        <w:gridCol w:w="562"/>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94"/>
        <w:gridCol w:w="194"/>
        <w:gridCol w:w="483"/>
        <w:gridCol w:w="109"/>
        <w:gridCol w:w="109"/>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$6.6 million, or 33%, for the three months ended March 31, 2026 compared to the three months ended March 31, 2025, primarily driven by a $2.7 million increase in administrative and marketing fees that we paid to channel partners for their services in support of our member enrollments, a $2.1 million increase in personnel costs related primarily to an increase in headcount, a $1.2 million increase in other marketing programs and sales commissions, and a $0.6 million increase in third-party consulting and professional services.</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tbl>
      <w:tblPr>
        <w:tblW w:w="8142" w:type="dxa"/>
        <w:jc w:val="left"/>
        <w:tblInd w:w="0" w:type="dxa"/>
        <w:tblLayout w:type="fixed"/>
        <w:tblCellMar>
          <w:top w:w="28" w:type="dxa"/>
          <w:left w:w="28" w:type="dxa"/>
          <w:bottom w:w="28" w:type="dxa"/>
          <w:right w:w="28" w:type="dxa"/>
        </w:tblCellMar>
      </w:tblPr>
      <w:tblGrid>
        <w:gridCol w:w="853"/>
        <w:gridCol w:w="749"/>
        <w:gridCol w:w="75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94"/>
        <w:gridCol w:w="194"/>
        <w:gridCol w:w="483"/>
        <w:gridCol w:w="109"/>
        <w:gridCol w:w="109"/>
        <w:gridCol w:w="109"/>
        <w:gridCol w:w="109"/>
        <w:gridCol w:w="109"/>
        <w:gridCol w:w="109"/>
        <w:gridCol w:w="109"/>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21"/>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pPr>
      <w:r>
        <w:rPr>
          <w:rFonts w:ascii="Times New Roman;serif" w:hAnsi="Times New Roman;serif"/>
          <w:b w:val="false"/>
          <w:color w:val="000000"/>
          <w:sz w:val="20"/>
        </w:rPr>
        <w:t>General and administrative expenses increased by $2.7 million, or 24%, for the three months ended March 31, 2026 compared to the three months ended March 31, 2025, primarily driven by a $2.4 million increase in personnel costs related to an increase in headcount and</w:t>
      </w:r>
      <w:r>
        <w:rPr>
          <w:color w:val="000000"/>
          <w:shd w:fill="FFFFFF" w:val="clear"/>
        </w:rPr>
        <w:t xml:space="preserve"> </w:t>
      </w:r>
      <w:r>
        <w:rPr>
          <w:rFonts w:ascii="Times New Roman;serif" w:hAnsi="Times New Roman;serif"/>
          <w:b w:val="false"/>
          <w:color w:val="000000"/>
          <w:sz w:val="20"/>
          <w:shd w:fill="FFFFFF" w:val="clear"/>
        </w:rPr>
        <w:t>a $0.4 million increase in business insurance expenses,</w:t>
      </w:r>
      <w:r>
        <w:rPr>
          <w:color w:val="000000"/>
        </w:rPr>
        <w:t xml:space="preserve"> </w:t>
      </w:r>
      <w:r>
        <w:rPr>
          <w:rFonts w:ascii="Times New Roman;serif" w:hAnsi="Times New Roman;serif"/>
          <w:b w:val="false"/>
          <w:color w:val="000000"/>
          <w:sz w:val="20"/>
        </w:rPr>
        <w:t>partially offset by a $0.5 million decrease in professional and outside services costs.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tbl>
      <w:tblPr>
        <w:tblW w:w="6899" w:type="dxa"/>
        <w:jc w:val="left"/>
        <w:tblInd w:w="0" w:type="dxa"/>
        <w:tblLayout w:type="fixed"/>
        <w:tblCellMar>
          <w:top w:w="28" w:type="dxa"/>
          <w:left w:w="28" w:type="dxa"/>
          <w:bottom w:w="28" w:type="dxa"/>
          <w:right w:w="28" w:type="dxa"/>
        </w:tblCellMar>
      </w:tblPr>
      <w:tblGrid>
        <w:gridCol w:w="527"/>
        <w:gridCol w:w="463"/>
        <w:gridCol w:w="464"/>
        <w:gridCol w:w="211"/>
        <w:gridCol w:w="361"/>
        <w:gridCol w:w="109"/>
        <w:gridCol w:w="109"/>
        <w:gridCol w:w="109"/>
        <w:gridCol w:w="109"/>
        <w:gridCol w:w="211"/>
        <w:gridCol w:w="616"/>
        <w:gridCol w:w="109"/>
        <w:gridCol w:w="109"/>
        <w:gridCol w:w="109"/>
        <w:gridCol w:w="109"/>
        <w:gridCol w:w="211"/>
        <w:gridCol w:w="691"/>
        <w:gridCol w:w="109"/>
        <w:gridCol w:w="109"/>
        <w:gridCol w:w="109"/>
        <w:gridCol w:w="109"/>
        <w:gridCol w:w="218"/>
        <w:gridCol w:w="218"/>
        <w:gridCol w:w="483"/>
        <w:gridCol w:w="109"/>
        <w:gridCol w:w="109"/>
        <w:gridCol w:w="109"/>
        <w:gridCol w:w="109"/>
        <w:gridCol w:w="109"/>
        <w:gridCol w:w="109"/>
        <w:gridCol w:w="109"/>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by $1.1 million, or 98%, for the three months ended March 31, 2026 compared to the three months ended March 31, 2025 primarily due to the extinguishment of our financing arrangements with MidCap Funding IV Trust on July 31, 2025, as discussed in “Liquidity and Capital Resources”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tbl>
      <w:tblPr>
        <w:tblW w:w="6824" w:type="dxa"/>
        <w:jc w:val="left"/>
        <w:tblInd w:w="0" w:type="dxa"/>
        <w:tblLayout w:type="fixed"/>
        <w:tblCellMar>
          <w:top w:w="28" w:type="dxa"/>
          <w:left w:w="28" w:type="dxa"/>
          <w:bottom w:w="28" w:type="dxa"/>
          <w:right w:w="28" w:type="dxa"/>
        </w:tblCellMar>
      </w:tblPr>
      <w:tblGrid>
        <w:gridCol w:w="494"/>
        <w:gridCol w:w="433"/>
        <w:gridCol w:w="437"/>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0"/>
        <w:gridCol w:w="211"/>
        <w:gridCol w:w="483"/>
        <w:gridCol w:w="109"/>
        <w:gridCol w:w="109"/>
        <w:gridCol w:w="109"/>
        <w:gridCol w:w="109"/>
        <w:gridCol w:w="109"/>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income increased by $1.3 million, or 237%, for the three months ended March 31, 2026 compared to the three months ended March 31, 2025, primarily driven by interest earned from the increase in cash and cash equivalents from IPO proceeds.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Warrant Liabilities</w:t>
      </w:r>
    </w:p>
    <w:tbl>
      <w:tblPr>
        <w:tblW w:w="8744" w:type="dxa"/>
        <w:jc w:val="left"/>
        <w:tblInd w:w="0" w:type="dxa"/>
        <w:tblLayout w:type="fixed"/>
        <w:tblCellMar>
          <w:top w:w="28" w:type="dxa"/>
          <w:left w:w="28" w:type="dxa"/>
          <w:bottom w:w="28" w:type="dxa"/>
          <w:right w:w="28" w:type="dxa"/>
        </w:tblCellMar>
      </w:tblPr>
      <w:tblGrid>
        <w:gridCol w:w="1248"/>
        <w:gridCol w:w="1099"/>
        <w:gridCol w:w="1103"/>
        <w:gridCol w:w="211"/>
        <w:gridCol w:w="406"/>
        <w:gridCol w:w="109"/>
        <w:gridCol w:w="109"/>
        <w:gridCol w:w="109"/>
        <w:gridCol w:w="109"/>
        <w:gridCol w:w="211"/>
        <w:gridCol w:w="466"/>
        <w:gridCol w:w="109"/>
        <w:gridCol w:w="109"/>
        <w:gridCol w:w="109"/>
        <w:gridCol w:w="109"/>
        <w:gridCol w:w="211"/>
        <w:gridCol w:w="541"/>
        <w:gridCol w:w="109"/>
        <w:gridCol w:w="109"/>
        <w:gridCol w:w="109"/>
        <w:gridCol w:w="109"/>
        <w:gridCol w:w="269"/>
        <w:gridCol w:w="271"/>
        <w:gridCol w:w="483"/>
        <w:gridCol w:w="109"/>
        <w:gridCol w:w="109"/>
        <w:gridCol w:w="109"/>
        <w:gridCol w:w="109"/>
        <w:gridCol w:w="109"/>
        <w:gridCol w:w="109"/>
        <w:gridCol w:w="109"/>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21"/>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warrant liabilities decreased by $0.5 million, or 100%, for the three months ended March 31, 2026 compared to the three months ended March 31, 2025, primarily driven by the cashless exercise of the convertible preferred stock and common stock warrants during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Trends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typically close a higher percentage of sales to new customers, as well as renewals or expansions with existing customers, in the second and third quarters, aligning with benefits enrollment schedules and allowing us to launch our products at the start of the following year. This seasonality generally leads to higher new member enrollment in the first and second quarters, resulting in increased Care Team costs to support the newly enrolled members. These higher new member enrollments also require shipments of new devices to newly enrolled members in the same quarter of enrollment or the beginning of the following quarter and increased hardware revenue in those periods. These increased costs result in lower overall gross margins in those quarters and there is typically a decrease in these costs in subsequent quarters. After the effects of these early program costs of new enrollments, increases in the number of members will generally be reflected in increased revenue in subsequent quarters as services revenue is generally recognized in arrears after the provision of our virtual care programs begins.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Obesity and Weight Management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obesity and weight health market is rapidly evolving, with a surge in GLP</w:t>
        <w:noBreakHyphen/>
        <w:t>1 adoption creating a broader spotlight on obesity and cardiometabolic disease more generally. As these medications draw significant attention—and cost—employers and health plans are under increasing pressure to balance access with affordability, making it difficult for many to offer broad GLP</w:t>
        <w:noBreakHyphen/>
        <w:t>1 coverage. In this environment, we believe Omada is well positioned to support customers across a range of coverage strategies: for those that cover GLP</w:t>
        <w:noBreakHyphen/>
        <w:t>1s, our GLP</w:t>
        <w:noBreakHyphen/>
        <w:t>1 companion programs are designed to help enhance medication effectiveness and durability; for those that do not, our proven prevention and weight health program, together with our broader cardiometabolic offerings, provides an evidence</w:t>
        <w:noBreakHyphen/>
        <w:t>based path to improving weight and metabolic health without relying on expensive drugs. As a result, increased focus on GLP</w:t>
        <w:noBreakHyphen/>
        <w:t>1s has contributed to demand for our solutions among both employers that cover these medications and those that do not. In addition, we recently announced the capability to prescribe GLP-1 therapies and other AOM as an extension of our GLP-1 support offerings, reflecting our proactive approach to evolving care models and meeting customer needs, while continuing to innovate on traditional care protocols.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inception, we have financed our operations primarily through proceeds from issuance of our redeemable convertible preferred stock and common stock, debt financing agreements, and cash generated from the sale of our products and services. On June 9, 2025, we completed our IPO and received proceeds of approximately $151.6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after deducting underwriting discounts and commissions and offering expenses. As of March 31, 2026, our principal sources of liquidity were cash and cash equivalents of $211.8 million and working capital of $200.7 million. Cash and cash equivalents are composed of cash held in sweep accounts, checking accounts, and money market funds. Our principal use of cash is to fund our operations and invest in R&amp;D to support our growth.</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generated significant losses from operations and negative cash flows from operating activities in the past, as reflected in our accumulated deficit of $459.7 million as of March 31, 2026. We believe that our current cash and cash equivalents will be sufficient to fund our operations for at least the next 12 months. Our future capital requirements, however, will depend on many factors, including our growth rate, the timing and extent of our sales and marketing and R&amp;D expenditures, the continuing market acceptance of our products and services, and the use of cash to fund potential mergers or acquisitions. In the event that additional financing is required from outside sources, we may seek to raise additional funds through equity, equity-linked arrangements, and debt. If we are unable to raise additional capital when desired and on acceptable terms, our business, results of operations, and financial condition could be materially and adversely affected. In June 2023, we entered into a financing arrangement with Physera, Inc., MidCap Funding IV Trust (“MidCap”), as administrative agent, MidCap Financial Trust, as term loan servicer, certain funds managed by MidCap, as lenders, and the lenders, additional borrowers, and guarantors from time to time party thereto (as amended, restated, amended and restated, supplemented, or otherwise modified from time to time, the “MidCap Credit Agreement”), for a senior secured term loan (the “MidCap Term Facility”) in an aggregate principal amount of up to $60.0 million, with up to $30.0 million available upon the initial closing date and up to $30.0 million available for draw from October 2024 through March 2025 and a revolving line of credit facility (the “MidCap Revolving Facility”).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31, 2025, we used a portion of the IPO proceeds to fully repay outstanding amounts under the MidCap Term Facility and MidCap Revolving Facility with the principal and accrued interest balances of $31.0 million and $0.4 million, respectively.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6068" w:type="dxa"/>
        <w:jc w:val="left"/>
        <w:tblInd w:w="0" w:type="dxa"/>
        <w:tblLayout w:type="fixed"/>
        <w:tblCellMar>
          <w:top w:w="28" w:type="dxa"/>
          <w:left w:w="28" w:type="dxa"/>
          <w:bottom w:w="28" w:type="dxa"/>
          <w:right w:w="28" w:type="dxa"/>
        </w:tblCellMar>
      </w:tblPr>
      <w:tblGrid>
        <w:gridCol w:w="1253"/>
        <w:gridCol w:w="1104"/>
        <w:gridCol w:w="1107"/>
        <w:gridCol w:w="211"/>
        <w:gridCol w:w="796"/>
        <w:gridCol w:w="109"/>
        <w:gridCol w:w="109"/>
        <w:gridCol w:w="109"/>
        <w:gridCol w:w="109"/>
        <w:gridCol w:w="211"/>
        <w:gridCol w:w="79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largest source of operating cash flows is cash collections from our customers who purchase access to our programs for their members. Our primary use of cash in operating activities is for personnel and related expenses, marketing expenses, and third-party hosting and software costs. We have incurred negative cash flows from operating activities and have supplemented working capital requirements through net proceeds from the sale of redeemable convertible preferred stock and common stock, and proceeds from debt financing arrangements.</w:t>
      </w:r>
    </w:p>
    <w:p>
      <w:pPr>
        <w:pStyle w:val="TextBody"/>
        <w:bidi w:val="0"/>
        <w:spacing w:lineRule="auto" w:line="288" w:before="0" w:after="240"/>
        <w:ind w:left="0" w:right="0" w:firstLine="450"/>
        <w:jc w:val="both"/>
        <w:rPr/>
      </w:pPr>
      <w:r>
        <w:rPr>
          <w:rFonts w:ascii="Times New Roman;serif" w:hAnsi="Times New Roman;serif"/>
          <w:b w:val="false"/>
          <w:color w:val="000000"/>
          <w:sz w:val="20"/>
          <w:shd w:fill="FFFFFF" w:val="clear"/>
        </w:rPr>
        <w:t xml:space="preserve">Net cash </w:t>
      </w:r>
      <w:r>
        <w:rPr>
          <w:rFonts w:ascii="Times New Roman;serif" w:hAnsi="Times New Roman;serif"/>
          <w:b w:val="false"/>
          <w:color w:val="000000"/>
          <w:sz w:val="20"/>
        </w:rPr>
        <w:t>used in</w:t>
      </w:r>
      <w:r>
        <w:rPr>
          <w:color w:val="000000"/>
          <w:shd w:fill="FFFFFF" w:val="clear"/>
        </w:rPr>
        <w:t xml:space="preserve"> </w:t>
      </w:r>
      <w:r>
        <w:rPr>
          <w:rFonts w:ascii="Times New Roman;serif" w:hAnsi="Times New Roman;serif"/>
          <w:b w:val="false"/>
          <w:color w:val="000000"/>
          <w:sz w:val="20"/>
          <w:shd w:fill="FFFFFF" w:val="clear"/>
        </w:rPr>
        <w:t xml:space="preserve">operating activities during the three months ended March 31, 2026 of $11.8 million was the result of a $3.0 million </w:t>
      </w:r>
      <w:r>
        <w:rPr>
          <w:rFonts w:ascii="Times New Roman;serif" w:hAnsi="Times New Roman;serif"/>
          <w:b w:val="false"/>
          <w:color w:val="000000"/>
          <w:sz w:val="20"/>
        </w:rPr>
        <w:t>net loss</w:t>
      </w:r>
      <w:r>
        <w:rPr>
          <w:rFonts w:ascii="Times New Roman;serif" w:hAnsi="Times New Roman;serif"/>
          <w:b w:val="false"/>
          <w:color w:val="000000"/>
          <w:sz w:val="20"/>
          <w:shd w:fill="FFFFFF" w:val="clear"/>
        </w:rPr>
        <w:t xml:space="preserve">, adjusted for $7.5 million of non-cash adjustments and $16.3 million of net cash </w:t>
      </w:r>
      <w:r>
        <w:rPr>
          <w:rFonts w:ascii="Times New Roman;serif" w:hAnsi="Times New Roman;serif"/>
          <w:b w:val="false"/>
          <w:color w:val="000000"/>
          <w:sz w:val="20"/>
        </w:rPr>
        <w:t>outflow</w:t>
      </w:r>
      <w:r>
        <w:rPr>
          <w:color w:val="000000"/>
          <w:shd w:fill="FFFFFF" w:val="clear"/>
        </w:rPr>
        <w:t xml:space="preserve"> </w:t>
      </w:r>
      <w:r>
        <w:rPr>
          <w:rFonts w:ascii="Times New Roman;serif" w:hAnsi="Times New Roman;serif"/>
          <w:b w:val="false"/>
          <w:color w:val="000000"/>
          <w:sz w:val="20"/>
          <w:shd w:fill="FFFFFF" w:val="clear"/>
        </w:rPr>
        <w:t xml:space="preserve">from changes in operating assets and liabilities. The non-cash adjustments consisted primarily of $4.2 million of share-based compensation expense, $1.5 million of depreciation and amortization expense, $1.0 million of amortization of deferred commissions, and a $0.8 million increase in the provision for credit losses. The net cash </w:t>
      </w:r>
      <w:r>
        <w:rPr>
          <w:rFonts w:ascii="Times New Roman;serif" w:hAnsi="Times New Roman;serif"/>
          <w:b w:val="false"/>
          <w:color w:val="000000"/>
          <w:sz w:val="20"/>
        </w:rPr>
        <w:t>outflow</w:t>
      </w:r>
      <w:r>
        <w:rPr>
          <w:color w:val="000000"/>
          <w:shd w:fill="FFFFFF" w:val="clear"/>
        </w:rPr>
        <w:t xml:space="preserve"> </w:t>
      </w:r>
      <w:r>
        <w:rPr>
          <w:rFonts w:ascii="Times New Roman;serif" w:hAnsi="Times New Roman;serif"/>
          <w:b w:val="false"/>
          <w:color w:val="000000"/>
          <w:sz w:val="20"/>
          <w:shd w:fill="FFFFFF" w:val="clear"/>
        </w:rPr>
        <w:t>from changes in operating assets and liabilities was primarily the result of a $9.2 million decrease in accrued expenses and other current liabilities, a $6.2 million increase in accounts receivable, a $2.2 million increase in deferred commissions, a $2.1 million decrease in accounts payable, a $1.5 million increase in prepaid and other current assets, and a $0.1 million increase in other non-current assets, partially offset by a $4.3 million increase in deferred revenue and a $0.7 million decrease in inventory.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during the three months ended March 31, 2025 of $16.1 million was the result of a $9.4 million net loss, adjusted for $6.4 million of non-cash adjustments and $13.0 million of net cash outflow from changes in operating assets and liabilities. The non-cash adjustments primarily consisted of $2.8 million in share-based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compensation expense, $1.3 million of depreciation and amortization expense, $0.7 million of amortization of deferred commissions, $0.6 million in provision for credit losses, $0.5 million in fair value of warrant liabilities, $0.2 million of amortization of operating lease right-of-use assets, and $0.1 million of amortization of debt issuance costs. The net cash outflow from changes in operating assets and liabilities was primarily the result of a $8.4 million decrease in accrued expenses and other current liabilities, a $6.5 million increase in accounts receivable, a $1.2 million increase in deferred commissions, a $0.6 million increase in prepaid and other current assets, and a $0.2 million decrease in operating lease liabilities, partially offset by a $3.3 million increase in deferred revenue, a $0.3 million decrease in inventory, and a $0.3 million increase in accounts payable.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Net cash used in investing activities during the three months ended March 31, 2026 of </w:t>
      </w:r>
      <w:r>
        <w:rPr>
          <w:rFonts w:ascii="Times New Roman;serif" w:hAnsi="Times New Roman;serif"/>
          <w:b w:val="false"/>
          <w:color w:val="000000"/>
          <w:sz w:val="20"/>
          <w:shd w:fill="FFFFFF" w:val="clear"/>
        </w:rPr>
        <w:t xml:space="preserve">$1.6 million was the result of capitalized internal-use software costs of $1.5 million and purchases of property and equipment of $0.1 million.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three months ended March 31, 2025 of $1.2 million was the result of purchases of property and equipment of $0.3 million and capitalized internal-use software costs of $0.9 million.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Net cash provided by financing activities for the three months ended March 31, 2026 </w:t>
      </w:r>
      <w:r>
        <w:rPr>
          <w:rFonts w:ascii="Times New Roman;serif" w:hAnsi="Times New Roman;serif"/>
          <w:b w:val="false"/>
          <w:color w:val="000000"/>
          <w:sz w:val="20"/>
          <w:shd w:fill="FFFFFF" w:val="clear"/>
        </w:rPr>
        <w:t xml:space="preserve">of $3.1 million was the result of $3.2 million of proceeds from the exercise of stock options, partially offset by </w:t>
      </w:r>
      <w:r>
        <w:rPr>
          <w:rFonts w:ascii="Times New Roman;serif" w:hAnsi="Times New Roman;serif"/>
          <w:b w:val="false"/>
          <w:color w:val="000000"/>
          <w:sz w:val="20"/>
        </w:rPr>
        <w:t>$0.1 million</w:t>
      </w:r>
      <w:r>
        <w:rPr>
          <w:color w:val="000000"/>
          <w:shd w:fill="FFFFFF" w:val="clear"/>
        </w:rPr>
        <w:t xml:space="preserve"> </w:t>
      </w:r>
      <w:r>
        <w:rPr>
          <w:rFonts w:ascii="Times New Roman;serif" w:hAnsi="Times New Roman;serif"/>
          <w:b w:val="false"/>
          <w:color w:val="000000"/>
          <w:sz w:val="20"/>
          <w:shd w:fill="FFFFFF" w:val="clear"/>
        </w:rPr>
        <w:t>of taxes paid related to net share settlement of equity awards.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three months ended March 31, 2025 of $0.4 million was the result of $0.9 million of proceeds from the exercise of stock options, partially offset by $0.5 million of payments for deferred offering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Contractual Obligations and Other Commitments</w:t>
      </w:r>
    </w:p>
    <w:p>
      <w:pPr>
        <w:pStyle w:val="TextBody"/>
        <w:bidi w:val="0"/>
        <w:spacing w:lineRule="auto" w:line="288" w:before="0" w:after="240"/>
        <w:ind w:left="0" w:right="0" w:firstLine="450"/>
        <w:jc w:val="both"/>
        <w:rPr/>
      </w:pPr>
      <w:r>
        <w:rPr>
          <w:rFonts w:ascii="Times New Roman;serif" w:hAnsi="Times New Roman;serif"/>
          <w:b/>
          <w:i/>
          <w:color w:val="000000"/>
          <w:sz w:val="20"/>
        </w:rPr>
        <w:t>Purchase commitments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Our unconditional purchase commitments primarily consist of technology and cloud services related to our daily business operations. As of March 31, 2026, we had $4.4 million of unconditional purchase commitments due in 2026 and $5.5 million due in 2027 and thereafter. The purchase obligation amounts do not represent the entire anticipated purchases in the future but represent only those items for which we are contractually obligated. The majority of our goods and services are purchased as needed, with no unconditional commitment. For this reason, these amounts do not provide an indication of our expected future cash outflows related to purchases. See Note 5 to our unaudited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include in our agreements indemnification provisions of varying scope and terms pursuant to which we agree to indemnify customers, channel partners, suppliers, vendors, lessors, business partners, and other parties with respect to certain matters, including, but not limited to, losses arising out of the breach of such agreements, services to be provided by us, or from intellectual property infringement claims made by third parties. The term of these indemnification provisions generally survive the termination of the agreements indefinitely. The maximum potential amount of future payments we could be required to make under these arrangements is not determinable. No demands have ever been made upon us to provide indemnification under such agreements, and there are no claims under those indemnification terms that we are aware of that could have a material effect on our consolidated balance sheets, consolidated statements of operations and comprehensive loss, or consolidated statements of cash flows. As a result, we believe the fair value of these agreements is minimal.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we have entered into separate indemnification agreements with our directors and certain officers and other employees that require us, among other things, to indemnify them against certain liabilities that may arise by reason of their status or service as directors, officers, and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Emerging Growth Company Status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qualify as an “emerging growth company,” as defined in the JOBS Act. As an emerging growth company, we may take advantage of specified reduced disclosure and other requirements that are otherwise applicable generally to public companies. These provisions include: (i) being permitted to present only two years of audited financial statements, in addition to any required unaudited interim financial statements, with correspondingly reduced “Management’s Discussion and Analysis of Financial Condition and Results of Operations” disclosure in this Quarterly Report on Form 10-Q; (ii) reduced disclosure about our executive compensation arrangements; (iii) not being required to hold advisory votes on executive compensation or to obtain stockholder approval of any golden parachute arrangements not previously approved; (iv) an exemption from the auditor attestation requirement in the assessment of our internal control over financial reporting pursuant to the Sarbanes-Oxley Act of 2002; and (v) an exemption from compliance with the requirements of the Public Company Accounting Oversight Board regarding the communication of critical audit matters in the auditor’s report on the financial statements.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Quarterly Report on Form 10-Q.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unaudited condensed consolidated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and the related notes thereto included elsewhere in this Quarterly Report on Form 10-Q are prepared in accordance with GAAP. The preparation of condensed consolidated financial statements in accordance with GAAP requires us to make certain estimates, judgments, and assumptions that affect the reported amounts of assets and liabilities and the related disclosures as of the date of the financial statements, as well as reported amounts of revenue and expenses during the period presented.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could be affected. There have been no material changes to our critical accounting policies and estimates as described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Recently Issued Accounting Pronouncements Adopted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more information on recently issued accounting pronouncements, see Note 2 to our unaudited condensed consolidated financial statements included elsewhere in this Quarterly Report on Form 10-Q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New Accounting Pronouncements Not Yet Adopted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more information on new accounting pronouncements not yet adopted, see Note 2 to our unaudited condensed consolidated financial statements included elsewhere in this Quarterly Report on Form 10-Q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exposed to certain market risks in the ordinary course of our business. Market risk represents the risk of loss that may impact our financial position due to adverse changes in financial market prices and rates.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related to changes in interest rates. We had cash and cash equivalents of $211.8 million as of March 31, 2026 and $222.0 million as of December 31, 2025. Our cash and cash equivalents consist of cash held in sweep accounts, checking accounts, and money market funds. The cash and cash equivalents are held primarily for working capital purposes. Such interest-earning instruments carry a degree of interest rate risk. Due to the short-term durations and nature of our investments, we have not been exposed to, nor do we currently anticipate being exposed to, material risks due to changes in interest rates. A hypothetical 10% increase or decrease in interest rates would not have had a material impact on our consolidated financial statements as of March 31, 2026. We may be exposed to further interest rate risk if we revise our strategy to invest in longer-term securities in the future.</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While we continue to see demand for our virtual care programs, we believe that current macroeconomic factors, including the impact of inflation and tariffs, are impacting customer and channel partner spending decisions. Given the current macroeconomic environment, we continue to look for ways to manage costs and mitigate any changes in the purchasing behavior of our customers and channel partners that may occur due to significant inflationary pressure, tariffs, or other factors. If our costs, in particular labor, sales and marketing, and cloud hosting costs, become subject to sustained or increased inflationary or other macroeconomic pressure, we may be unable to fully offset such higher costs through price increases, which could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the effectiveness of our disclosure controls and procedures, as defined in Rules 13a-15(e) and 15d-15(e) under the Securities Exchange Act of 1934 (the “Exchange Act”), as of the end of the period covered by this Quarterly Report on Form 10-Q. Based on that evaluation, our principal executive officer and principal financial officer concluded that, as of March 31, 2026, our disclosure controls and procedures were not effective at the reasonable assurance level because of the material weakness in our internal control over financial reporting described below.</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Previously Reported Material Weakness in Internal Control Over Financial Reporting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combination of deficiencies in our internal control over financial reporting such that there is a reasonable possibility that a material misstatement of our annual or interim consolidated financial statements would not be prevented or detected on a timely basis.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disclosed in Part II, Item 1A, “Risk Factors” in this Quarterly Report on Form 10-Q, we previously identified a material weakness in our internal control over financial reporting related to inadequate formalized processes and control activities to support the financial close and reporting process, including the review of financial information, account analysis, and journal entries. We have concluded that this material weakness existed because we did not have the necessary business processes, systems, personnel, and related internal controls. The deficiency identified did not result in a material misstatement to our financial statements.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Remediation Efforts to Address Previously Identified Material Weaknesses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Management’s remediation plan to address the material weakness existing as of December 31, 2025 related to inadequate formalized processes and control activities to support the financial close and reporting process, including the review of financial information, account analysis, and journal entries, includes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Continuing to hire qualified technical accounting and financial reporting personnel with public company experience to perform control activities;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Continuing the process of implementing, enhancing, and formalizing control activities related to significant accounts and disclosures;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Investing in additional technology infrastructure and refinement to enhance monitoring of financial transactions and exceptions and to promote related data integrity.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we continue to evaluate and work to remediate the control deficiencies that gave rise to the material weakness, we may determine that additional measures or time are required to address the control deficiencies or that we need to modify or otherwise adjust the remediation measures described above. We will continue to assess the effectiveness of our remediation efforts in connection with our evaluation of our internal control over financial reporting.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we are making progress toward achieving effectiveness of our internal control over financial reporting. The actions that we are taking are subject to ongoing management review and audit committee oversight. We will not be able to conclude whether the steps we are taking will fully remediate the material weakness in our internal control over financial reporting until we have completed our remediation efforts and subsequently evaluated the design and effectiveness over a sufficient period of time, and management concludes, through testing, that these are operating effectively. We may also conclude that additional measures are required to remediate the material weakness in our internal control over financial reporting.</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Except for the remediation measures we are taking in connection with the material weakness described above, there were no changes in our internal control over financial reporting, as defined in Rules 13a-15(f) and 15d-15(f) under the Exchange Act, during the three months ended March 31, 2026 that materially affected, or are reasonably likely to materially affect, our internal control over financial reporting.</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Limitation on Effectiveness of Controls and Procedures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are subject to legal proceedings and claims arising in the ordinary course of our business. We are not currently party to any proceeding the outcome of which we believe, if determined adversely to us, would individually or in the aggregate have a material adverse effect on our business, financial condition, or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Certain factors may have a material adverse effect on our business, financial condition, results of operations, and prospects. You should carefully consider the risks described below, as well as the other information in this Quarterly Report on Form 10-Q, including our unaudited condensed consolidated financial statements and the related notes and “Management’s Discussion and Analysis of Financial Condition and Results of Operations” included elsewhere in this Quarterly Report on Form 10-Q. The occurrence of any of the events or developments described below could have a material adverse effect on our business, financial condition, results of operations, and prospects. In such an event, the market price of our common stock could decline, and you may lose all or part of your investment. Additional risks and uncertainties not presently known to us or that we currently believe are not material may also impair our business, financial condition, results of operations, and prospects. These disclosures reflect the Company’s beliefs and opinions as to factors that could materially and adversely affect the Company and its securities in the future. References to past events are provided by way of example only and are not intended to be a complete listing or a representation as to whether or not such factors have occurred in the past or their likelihood of occurring in the future.</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before="0" w:after="0"/>
        <w:jc w:val="left"/>
        <w:rPr/>
      </w:pPr>
      <w:r>
        <w:rPr/>
      </w:r>
    </w:p>
    <w:p>
      <w:pPr>
        <w:pStyle w:val="TextBody"/>
        <w:bidi w:val="0"/>
        <w:spacing w:lineRule="auto" w:line="276" w:before="0" w:after="0"/>
        <w:ind w:left="0" w:right="0" w:firstLine="38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of which you should be aware before making a decision to invest in our common stock, including those described more fully below in this Quarterly Report on Form 10-Q. The following is a summary of principal risks and uncertainties that could materially adversely affect our business, results of operations, financial condition, and prospects. This summary should be read in conjunction with the “Risk Factors” section and should not be relied upon as an exhaustive summary of the material risks and uncertainties facing our business.</w:t>
      </w:r>
    </w:p>
    <w:p>
      <w:pPr>
        <w:pStyle w:val="TextBody"/>
        <w:bidi w:val="0"/>
        <w:spacing w:before="0" w:after="0"/>
        <w:jc w:val="both"/>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have a limited operating history and have grown significantly in a short period of time. If we fail to manage our growth effectively, our business could be materially and adversely affected.</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have a history of net losses, and we may not be able to consistently achieve or maintain profitability in the future.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failure of our programs to achieve and maintain market acceptance could result in us achieving sales below our expectations, which would cause our business, financial condition, results of operations, and prospects to be materially and adversely affected.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market for our programs is new, rapidly evolving, and increasingly competitive, as the healthcare industry in the U.S. is undergoing significant structural change, which makes it difficult to forecast demand for our programs.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operate in a very competitive industry, and if we fail to compete successfully against our existing or potential competitors, some of whom may have greater resources than us, our business, financial condition, results of operations, and prospects could be materially and adversely affected.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Competitive solutions or other technological breakthroughs for the monitoring, treatment, or prevention of chronic conditions or technological developments may adversely affect demand for our programs.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growth of our business relies, in part, on the growth and success of our customers and channel partners such as health plans, PBMs, and other resellers, and revenue from member enrollment, which are difficult to predict and are affected by factors outside of our control.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If the number of individuals covered by employers, health plans, PBMs, health systems, government entities, or other existing or potential customers decreases, or the number of programs they cover decreases, our member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enrollment may decline, and our revenue will likely decrease, which could materially and adversely affect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revenue depends on member engagement in our programs and the clinical outcomes and cost savings of our offerings, and our failure to achieve and maintain meaningful member engagement, clinical outcomes, and/or cost savings could materially and adversely affect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incur significant upfront costs in establishing and expanding our relationships with employers, health plans, PBMs, health systems, government entities, and other existing and potential customers and channel partners, and if we are unable to maintain and grow these relationships over time, we are likely to fail to recover these costs, which could have a material adverse effect on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substantial portion of our sales comes from or through a limited number of customers and channel partners that operate as resellers.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If we are unable to attract new customers and channel partners and increase member enrollment from new and existing customers and channel partners, our revenue growth could be slower than we expect, and our business may be adversely affected.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will need to increase the size of our organization, including our Care Teams, and we may experience difficulties in managing growth and attracting talent. A deterioration in our relationships with our employees and other service providers could have an adverse impact on our business.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programs may result in member harm or injury.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depend on a limited number of third-party suppliers for certain devices and other supplies that we deliver to members in connection with our programs, for cellular device connectivity, and for certain complementary healthcare services provided by external partners, such as prescriptions or physician referrals, and the loss of any of these suppliers or partners, or their inability to support our required volume, could materially and adversely affect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experience seasonality in our business, which may cause fluctuations in our financial results.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information technology (“IT”) systems and 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protected health information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operate in a highly regulated industry and changes in regulations or the implementation of existing regulations could affect our operations.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use and disclosure of personal information, including health information, is subject to federal and state privacy and security laws and regulations, and our or our affiliated professional entities’ actual or perceived failure to comply with such laws and regulations or to adequately secure the personal information we hold could result in significant liability or reputational harm and, in turn, a material adverse effect on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If we or our affiliated professional entities fail to comply with federal and state healthcare regulatory laws, we could be subject to penalties, including, but not limited to, administrative, civil and criminal penalties, damages, fines, disgorgement, exclusion from participation in governmental healthcare programs, and the curtailment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operations, any of which could materially and adversely affect our business, financial condition, results of operations, and prospects.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Legislative or regulatory healthcare reforms or reductions in government spending may make it more difficult and costly to produce, market, and distribute our programs or to do so profitably.</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have identified a material weakness in our internal control over financial reporting. If our remediation of the material weakness is not effective, or if we experience additional material weaknesses in the future or otherwise fail to maintain an effective system of internal controls in the future, we may not be able to accurately or timely report our results of operations or financial condition, which may adversely affect investor confidence in us and, as a result, the value of our common stock.</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Relating to Our Business and Industry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have a limited operating history and have grown significantly in a short period of time. If we fail to manage our growth effectively, our business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were organized in 2011 and began offering Omada for Prevention &amp; Weight Health in 2012. Accordingly, we have a limited operating history, which makes an evaluation of our future prospects difficult. Our results of operations have fluctuated in the past, and we expect our future quarterly and annual results of operations to fluctuate as we focus on increasing the demand for our programs. We may need to make business decisions that could adversely affect our results of operations and prospects, such as modifications to our pricing strategy, business structure, or operations.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experienced recent rapid growth. This growth has placed significant demands on our management and financial, operational, technological, and other resources, and we expect that any future growth will continue to place significant demands on our management and other resources and will require us to continue developing and improving our financial, operational, and other internal controls. In particular, continued growth increases the challenges involved in a number of areas, including recruiting and retaining sufficient skilled personnel, providing adequate training and supervision to maintain our high quality standards, and preserving our culture and values. We may not be able to address these challenges in a cost-effective manner, or at all. As we grow, we may also need to invest significant resources to improve and expand our technological systems, including reworking any existing technology and/or documenting existing features, and we may not be able to do so in a cost-effective manner or at all. If we are unable to efficiently update or further improve our technology infrastructure, we may need to hire additional personnel, including Care Team members, to support our programs and any future growth, which could limit our ability to achieve economies of scale. If we do not effectively manage our growth, we may not be able to execute on our business plan, respond to competitive pressures, take advantage of market opportunities, satisfy requirements from our customers and channel partners, or maintain high-quality offerings, and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have a history of net losses, and we may not be able to consistently achieve or maintain profitability in the future.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incurred net losses since our inception, and we may incur net losses in the future. For the three months ended March 31, 2026 and 2025, we incurred net losses of $3.0 million and $9.4 million, respectively, and for the year ended December 31, 2025, we incurred net losses of $12.8 million. As of March 31, 2026, we had an accumulated deficit of $459.7 million. We also expect our operating expenses to increase in future periods, and if our revenue growth does not increase to more than offset these anticipated increases in our operating expenses, we may not be able to consistently achieve or maintain profitability, and our business, financial condition, results of operations, and prospects will be harmed. Since inception, we have spent, and intend to continue to spend, significant funds to develop our programs, to develop our customer support resources, to scale our offerings, and to recruit and retain key talent. Some of these investments may not yield the revenue gains we anticipate and reduce our operating margin. If our investments are not successful, and if we are unable to successfully develop, commercialize, and market our programs to customers and channel partners, our ability to increase revenue may be adversely affected. In addition to the expected costs to grow our business, we also expect to incur significant additional legal, accounting, and other expenses as a newly public company. If we fail to increase our revenue to exceed the increases in our operating expenses in any particular period, we will not be able to achieve profitability in that period or maintain profitability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failure of our programs to achieve and maintain market acceptance could result in us achieving sales below our expectations, which would cause our business, financial condition, results of operations, and prospects to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current business strategy is highly dependent on our programs achieving and maintaining market acceptance. Market acceptance and adoption of our programs depend on our achieving and maintaining meaningful member engagement, clinical outcomes, and cost savings, and on educating employers, health plans, PBMs, health systems, government entities, and other customers and channel partners as to the distinct features, ease-of-use, and other perceived benefits of our programs as compared to competitive solutions and programs. If we are not successful in demonstrating to existing and potential customers and channel partners the benefits of our programs, or if we are not able to achieve the support of employers, health plans, PBMs, health systems, government entities, and other existing or potential customers or channel partners for our programs, our sales may decline, or we may fail to increase our sales in line with our forecasts.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Achieving and maintaining market acceptance of our programs could be negatively impacted by many factors,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failure of our programs to achieve wide acceptance among people living with or at risk for chronic conditions, employers, health plans, PBMs, health systems, government entities, other existing or potential customers and channel partners, and key opinion leaders in the treatment community;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lack of evidence or peer-reviewed publication of clinical evidence supporting the efficacy, ease-of-use, cost-savings, safety, or other perceived benefits of our current or future programs or features, or perceived lack of compelling evidence, over competitive offerings or other currently available methodologies;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perceived risks associated with the use of our programs or similar solutions or technologies generally, including perceived risks regarding patient confidentiality, data privacy, artificial intelligence (“AI”), and cybersecurity;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introduction of competitive solutions or other advancements in healthcare or drugs and the rate of acceptance of those solutions and advancements as compared to our programs;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results of clinical and financial studies relating to chronic condition programs or similar competitive solutions.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our programs may be perceived by employers, health plans, PBMs, health systems, government entities, and other existing or potential customers and channel partners or our current or prospective members to be more complicated or less effective than other healthcare approaches. People may be unwilling to change their current health regimens, and existing or potential customers may be unwilling to change their benefits practices.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market for our programs is new, rapidly evolving, and increasingly competitive, as the healthcare industry in the U.S. is undergoing significant structural change, which makes it difficult to forecast demand for our programs.</w:t>
      </w:r>
    </w:p>
    <w:p>
      <w:pPr>
        <w:pStyle w:val="TextBody"/>
        <w:bidi w:val="0"/>
        <w:spacing w:lineRule="auto" w:line="288" w:before="0" w:after="240"/>
        <w:ind w:left="0" w:right="0" w:firstLine="450"/>
        <w:jc w:val="both"/>
        <w:rPr/>
      </w:pPr>
      <w:r>
        <w:rPr>
          <w:rFonts w:ascii="Times New Roman;serif" w:hAnsi="Times New Roman;serif"/>
          <w:b w:val="false"/>
          <w:color w:val="000000"/>
          <w:sz w:val="20"/>
        </w:rPr>
        <w:t>The virtual care market is relatively new, unproven, and rapidly evolving, and it is uncertain whether it will achieve and sustain high levels of demand, customer acceptance, and market adoption. Our future financial performance will depend in part on growth in this market and on our ability to adapt to emerging demands of our customers and channel partners and new lines of business. It is difficult to predict the future growth rate and size of our target market. The forecasts that we use to anticipate expected growth for our business and revenue rely on assumptions and metrics that are difficult to estimate accurately, including but not limited to anticipated enrollment rates, our number of enrolled members, our ability to secure and retain business from new customers and channel partners or to secure additional business from additional customers and channel partners, the anticipated timing of securing that business, member engagement levels in our programs, and member outcomes from our programs, and our assumptions and estimates may not be accurate. In addition, the estimates of market opportunity and forecasts of market growth included in the documents we file or furnish with the Securities and Exchange Commission (the “SEC”) from time to time, may prove to be inaccurate, and even if the market in which we compete achieves the forecasted growth, our business could fail to grow at similar rates, if at all. Negative publicity concerning our programs, products prescribed through our offerings (see, for example, the risk factor titled “</w:t>
      </w:r>
      <w:r>
        <w:rPr>
          <w:rFonts w:ascii="Times New Roman;serif" w:hAnsi="Times New Roman;serif"/>
          <w:b w:val="false"/>
          <w:i/>
          <w:color w:val="000000"/>
          <w:sz w:val="20"/>
        </w:rPr>
        <w:t>Public opinion and scrutiny of treatments for obesity and overweight may impact public perception of our company and offerings or may adversely affect our ability to conduct our business and our business plans</w:t>
      </w:r>
      <w:r>
        <w:rPr>
          <w:color w:val="000000"/>
        </w:rPr>
        <w:t>”</w:t>
      </w:r>
      <w:r>
        <w:rPr>
          <w:rFonts w:ascii="Times New Roman;serif" w:hAnsi="Times New Roman;serif"/>
          <w:b w:val="false"/>
          <w:color w:val="000000"/>
          <w:sz w:val="20"/>
        </w:rPr>
        <w:t xml:space="preserve">), or our market as a whole could limit market acceptance of our programs. If our existing or potential customers, channel partners, and members do not perceive the benefits of our programs or products prescribed through our offerings, or if our programs do not drive member enrollment, then our market may not develop at all, or it may develop more slowly than we expect.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pPr>
      <w:r>
        <w:rPr>
          <w:rFonts w:ascii="Times New Roman;serif" w:hAnsi="Times New Roman;serif"/>
          <w:b w:val="false"/>
          <w:color w:val="000000"/>
          <w:sz w:val="20"/>
        </w:rPr>
        <w:t>success will depend to a substantial extent on the willingness of existing and potential customers to increase their coverage of and support for our programs and our ability to demonstrate the value of our programs to our existing and potential customers and channel partners. If these entities do not recognize or acknowledge the benefits of our programs or products prescribed through our offerings, or if we are unable to reduce healthcare costs or drive positive health outcomes, then the market for our programs might not develop at all, or it might develop more slowly than we expect. In addition, negative publicity or negative customer or member sentiment regarding patient confidentiality, data privacy, AI, and cybersecurity in the context of technology-enabled healthcare or concerns experienced by us or our competitors could limit market acceptance of our programs. We face additional risks related to cybersecurity. See the risk factor titled “</w:t>
      </w:r>
      <w:r>
        <w:rPr>
          <w:rFonts w:ascii="Times New Roman;serif" w:hAnsi="Times New Roman;serif"/>
          <w:b w:val="false"/>
          <w:i/>
          <w:color w:val="000000"/>
          <w:sz w:val="20"/>
        </w:rPr>
        <w:t>Our information technology (“IT”) systems and 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protected health information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r>
        <w:rPr>
          <w:color w:val="000000"/>
        </w:rPr>
        <w:t xml:space="preserve">” </w:t>
      </w:r>
      <w:r>
        <w:rPr>
          <w:rFonts w:ascii="Times New Roman;serif" w:hAnsi="Times New Roman;serif"/>
          <w:b w:val="false"/>
          <w:color w:val="000000"/>
          <w:sz w:val="20"/>
        </w:rPr>
        <w:t>and other risks under the section titled “—Risks Relating to Cybersecurity, Information Systems, and Intellectual Property.”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healthcare industry in the U.S. is undergoing significant structural change and is rapidly evolving. We believe demand for our programs has been driven in large part by rapidly growing costs in the traditional healthcare system, the movement toward patient-centricity and more personalized healthcare, and advances in technology. Widespread acceptance of personalized healthcare is critical to our future growth and success. A reduction in the growth of personalized healthcare could reduce the demand for our programs and result in a lower revenue growth rate or decreased revenue. Additionally, we sell our programs using innovative pricing models, primarily charging for members who enroll and engage rather than at a population level, and the adoption of these models is still relatively new, especially in the healthcare industry. If companies do not shift to these types of models and these models do not achieve widespread adoption, or if there is a reduction in demand for products and services using models such as these, our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while we do not currently enroll members from Medicare or Medicaid fee-for-service populations, recent changes in federal health policy and government programs have shown some increased interest in outcomes-based pricing models, expanding access to digital and preventive services, and lifestyle support. Recent modifications to the Medicare Physician Fee Schedule, as well as the passage of the PREVENT Diabetes Act, could allow more digital providers of diabetes prevention programs to access Medicare beneficiaries. In addition, the Centers for Medicare &amp; Medicaid Services has recently announced pilot programs for Medicare and Medicaid beneficiaries, some of which, among other things, aim to test the use of outcome-aligned payments for technology-enabled chronic care and to test new coverage avenues for GLP-1s and related lifestyle interventions. At this time, it is unclear whether these trends would continue or whether these developments would benefit our company, but our participation or lack of participation could be viewed negatively by our customers and channel partners, our members, our investors, the government, or the public. Pursuing new lines of business entails numerous risks, including new product development requirements and capabilities, increased investments, and the diversion of our management’s attention from our existing programs and initiatives. New or expanded government programs may not cover our services at desirable prices or on favorable terms. Our applications to participate in government programs may not be successful, and coverage programs can be terminated or policy changes reversed. In addition, competitors could be better positioned to serve certain markets, which could benefit those competitors near-term or long-term at our expense.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if healthcare benefits trends shift or entirely new technologies, treatments, or drugs are developed that replace existing offerings, our existing or future programs could be rendered obsolete, and our business could be adversely affected. In addition, we may experience difficulties with software development, industry standards, design, or marketing that could delay or prevent our development, introduction, or implementation of new or enhanced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operate in a very competitive industry, and if we fail to compete successfully against our existing or potential competitors, some of whom may have greater resources than us, our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While our market is in an early stage of development, it is evolving rapidly and becoming increasingly competitive, and we expect it to attract increased competition. We currently face competition from a range of digital health companies, including direct competition from competitors offering cardiometabolic programs, such as Hello Heart Inc., Lark Technologies, Inc., Livongo (via Teladoc Health, Inc.), Onduo LLC, Vida Health, Inc., and Virta Health Corp.; competitors offering only MSK programs, such as Hinge Health, Inc.; and those that offer both cardiometabolic and MSK programs, such as SWORD Health, Inc. and DarioHealth Corp. In some cases, our competitors also include enterprise companies that are focused on or may enter the healthcare industry generally, including initiatives and partnerships launched by these large companies, and those that offer point solutions for a single chronic condition. These companies, which may offer their solutions at lower prices, are continuing to develop additional products and becoming more sophisticated and effective. In addition, large, well-financed healthcare providers and health plans have in some cases developed their own platforms or tools and may provide these solutions at discounted prices. Competition from specialized software providers or device manufacturers, which may facilitate the collection of data but offer limited interpretation, feedback, or guidance, and other parties will result in continued pricing pressures, which are likely to lead to price declines in certain product areas, which could negatively impact our sales, profitability, and market share. Consumer technology companies may also offer solutions that feature health coaching, health advice, or other health services that may affect the demand for our programs. Additionally, AI-native companies are launching offerings in the healthcare space, and we expect more companies to expand their AI tools into healthcare in the future.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healthcare providers may choose not to implement a digital health solution at all and instead may continue to rely on traditional, in-person approaches to healthcare. Moreover, our programs and systems are designed to comply with rules and regulations applicable to healthcare providers, and as a result, we must enter into contracts that appropriately reflect the obligations of a healthcare provider, including data privacy and healthcare regulatory requirements. We compete with wellness vendors whose products and services are not designed to comply with these rules and regulations and therefore may be preferred by potential customers and channel partners who view our programs and related healthcare provider requirements as overly complex or otherwise undesirable. The loss of potential customers and channel partners as a result of our status as a healthcare provider may have a material and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Some of our competitors may have, or new competitors or alliances may emerge that have, greater name and brand recognition, greater market share, a larger customer base, more or larger channel partner relationships, more widely adopted proprietary technologies, greater marketing expertise, larger sales forces, longer operating histories, or significantly greater resources than we do and may be able to offer solutions similar to ours at a more attractive price than we can, or may be acquired by third parties with greater available resources. In addition, our competitors have established, and may in the future establish, cooperative relationships with vendors of complementary products, technologies, or services to increase the availability of their solutions in the marketplace. Our competitors could also be better positioned to serve certain markets, which could create additional price pressure. As a result, our competitors may be able to respond more quickly and effectively than we can to new or changing opportunities, technologies, standards, or requirements from customers and channel partners and may have the ability to initiate or withstand substantial price competition. Additionally, AI-native companies may be able to provide care at much lower operating cost and innovate more quickly. In light of these factors, even if our programs are more effective than those of our competitors, existing or potential customers and channel partners may accept competitive solutions in lieu of purchasing our programs. If we are unable to successfully compete,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Competitive solutions or other technological breakthroughs for the monitoring, treatment, or prevention of chronic conditions or technological developments may adversely affect demand for our programs.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achieve our strategic objectives will depend, among other things, on our ability to develop and commercialize programs for the monitoring, treatment, and prevention of chronic conditions that offer distinct features, are easy-to-use, provide measurable and meaningful cost savings to customers and channel partners, and are more appealing than available alternatives. Our competitors, as well as a number of other companies, within and outside the healthcare industry, are pursuing new delivery devices, delivery technologies, sensing technologies, procedures, drugs, and other therapies and services for the monitoring, treatment, and prevention of chronic conditions. Any technological breakthroughs in monitoring, treatment, or prevention could reduce the potential market for our programs, which would significantly reduce our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introduction by competitors of solutions that claim to be superior to our programs may create market confusion, which may make it difficult for potential customers and channel partners to differentiate the benefits of our programs over competitive products. In addition, the entry of multiple new products may lead some of our competitors to employ pricing strategies that could adversely affect the pricing of our programs. If a competitor develops a product that competes with or is perceived to be superior to our programs, or if a competitor employs strategies that place downward pressure on pricing within our industry, our sales may decline significantly or may not increase in line with our forecasts, either of which would materially and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growth of our business relies, in part, on the growth and success of our customers and channel partners such as health plans, PBMs, and other resellers, and revenue from member enrollment, which are difficult to predict and are affected by factors outside of our control.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enter into agreements with our customers and channel partners under which our fees are dependent in part upon the number of covered individuals that are enrolled in our programs each month. If the number of members covered for our programs by one or more of our customers or channel partners were to be reduced, such decrease would lead to a decrease in our revenue. The growth forecasts of our customers and channel partners are also subject to significant uncertainty and are based on assumptions and estimates that may prove to be inaccurate, and member enrollment in our programs could fail to grow at anticipated rates, or at all.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some fees are subject to repayment pursuant to performance guarantees if certain clinical outcomes or other performance criteria are not met, which in some cases depend on the behavior of our members, such as their continued engagement with our programs, and other factors not entirely within our control. These clinical performance guarantees vary by program and track outcomes that are relevant to the specific condition or to savings, care utilization, and costs. We may agree to new and different performance guarantees in connection with existing programs or new offerings like those that may include prescribing. Currently, most clinical performance guarantees for our Omada for Prevention &amp; Weight Loss program measure percentage weight loss; most clinical performance guarantees for Omada for Diabetes measure reduction in A1C; most clinical performance guarantees for Omada for Hypertension measure reduction in blood pressure; and most clinical performance guarantees for Omada for MSK measure cost savings associated with the program, reductions in a member’s intent to seek surgery, or reductions in pain.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we generally enter into non-exclusive agreements with our channel partners, including health plans, PBMs, and other resellers, which rely in part on their customer sales, which are affected by factors outside of our control. Where channel partners do offer our programs exclusively, those channel partners may nevertheless choose to terminate those agreements or choose to no longer offer our programs exclusively. In addition, because many benefit-planning cycles align with the calendar year, a concentrated number of employers, health plans, PBMs, or other customers or channel partners may make changes to the programs, medications, or other benefits that they cover at the start of a calendar year. If the number of customers represented by one or more of our channel partners were to be reduced by a material amount or if our channel partners were to refer their customers to our competitors, such decreases may lead to a decrease in our total number of customers, member enrollment rate, and in our revenue, which could materially and adversely affect our business, financial condition, results of operations, and prospects. In addition, growth forecasts of our channel partners are subject to significant uncertainty and are based on assumptions and estimates that may prove to be inaccurate.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the number of individuals covered by employers, health plans, PBMs, health systems, government entities, or other existing or potential customers decreases, or the number of programs they cover decreases, our member enrollment may decline, and our revenue will likely decrease, which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fees are generally dependent in part upon the number of covered individuals that are enrolled in our programs each month. Various factors may lead to a decrease in the number of individuals covered by our customers and channel partners and the number of programs they cover, including, but not limited to,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natural attrition of individuals covered by our customers;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failure of our customers or channel partners to adopt or maintain effective business practices;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the nature or operations of our customers or channel partners;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continued acceptance of our programs for existing and new chronic conditions by covered individuals;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timing of development and release of new programs;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features and functionality that are lower-cost alternatives introduced by us or our competitors;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government regulations, including the scope of government-sponsored healthcare;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technological changes and developments within the markets we serve;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economic conditions;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changes in the prevalence of different types of chronic conditions.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the number of individuals covered by employers, health plans, PBMs, health systems, government entities, or other existing or potential customers decreases, or the number of programs they cover decreases, for any reason, our member enrollment may decline. We also seek to collect member cost-sharing amounts, such as copayments, co-insurance, or deductibles, directly from some members in connection with our MSK program, which we may be unable to collect. Any of these events could cause our revenue to decrease, which could materially and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revenue depends on member engagement in our programs and the clinical outcomes and cost savings of our offerings, and our failure to achieve and maintain meaningful member engagement, clinical outcomes, and/or cost savings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Member engagement in our programs and the clinical outcomes and cost savings of our offerings affect the market acceptance and adoption of our programs. Most of our customers and channel partners pay fees to us based on member enrollment and/or engagement with our programs, and our contracts generally may provide that we are obligated to repay a portion of our fees if our programs fail to deliver certain member engagement, clinical outcomes, or cost savings. If we are unable to demonstrate positive clinical outcomes for our members or expected costs savings, including if claims analyses or other studies fail to support the efficacy of our programs, we may receive less revenue from outcomes-based pricing models or be obligated to repay certain fees under our service-level agreements or performance guarantees, and existing and potential customers and channel partners may decide not to cover our programs at desirable prices or at all. If actual repayments differ from those in our assumptions, we could fail to meet our revenue expectations, and our operating and financial results could fall below our publicly announced guidance or the expectations of investors. Moreover, our failure to accurately account for repayment obligations could result in a material misstatement of our financial statements. In many cases, we incur high upfront costs to secure customers and channel partners, implement our programs, enroll members, and deliver our programs to those members, and our ability to recover those costs over time depends on sustained member engagement, positive clinical outcomes, and meaningful cost savings. As we scale delivery of our programs, we may experience difficulty in achieving and maintaining desired levels of member engagement, clinical outcomes, and cost savings for our customers and channel partners, and, as a result, our past performance may not be indicative of our ability to achieve positive member engagement, clinical outcomes, and cost savings in future periods. We assume the risk that the cost of providing our programs will exceed the compensation we receive. If we fail to achieve or maintain meaningful member engagement, clinical outcomes, and cost savings for our customers and channel partners, our business, financial condition, results of operations, and prospects could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incur significant upfront costs in establishing and expanding our relationships with employers, health plans, PBMs, health systems, government entities, and other existing and potential customers and channel partners, and if we are unable to maintain and grow these relationships over time, we are likely to fail to recover these costs, which could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devote significant resources to establish and expand upon our relationships with employers, health plans, PBMs, health systems, government entities, and other existing and potential customers, channel partners, and strategic partners to offer and implement our programs. This is particularly so in the case of large organizations, including health plans and PBMs, and government entities, that often request or require specific features, functions, or integrations unique to their particular business processes. Accordingly, our results of operations will depend in substantial part on our ability to enroll individuals covered by our customers and channel partners to participate in our programs, deliver a successful experience for customers, channel partners, and members, and persuade existing and potential customers and channel partners to maintain and grow their relationship with us over time. Additionally, as our business grows, our costs in acquiring customers and channel partners could outpace our build-up of recurring revenue, and we may be unable to reduce our total operating costs through economies of scale such that we are unable to sustain profitability. If we fail to achieve appropriate economies of scale, if our investments in these relationships fail to materialize, or if we fail to manage or anticipate the evolution and demand of our billing model, our enrollment rate may decrease, and our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incur significant upfront costs in establishing our relationships with members, and if we are unable to maintain member engagement over time, we are likely to fail to recover these costs, which could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devote significant resources to securing access to customers, channel partners, and their covered individuals, informing covered individuals that our programs are available to them, and enrolling covered individuals as members in our programs. We also incur significant upfront costs in providing devices and supplies to members upon enrollment in our programs. Accordingly, our results of operations and prospects will depend in substantial part on our ability to deliver a successful experience for members and maintain member engagement over time. Additionally, as our business grows, our upfront member acquisition and enrollment costs could outpace our build-up of recurring revenue, and we may be unable to reduce our total operating costs through economies of scale such that we are unable to sustain profitability. If we fail to achieve appropriate economies of scale, fail to maintain sufficient member engagement, or fail to manage or anticipate the evolution and demand of our billing model,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 substantial portion of our sales comes from or through a limited number of customers and channel partners that operate as resellers.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we have relied on a limited number of customers, including employers, health plans, PBMs, health systems, government entities, and other entities that pay for the cost of our programs, and channel partners, including health plans and PBMs, for a substantial portion of our total sales. Our customers include employers that cover our programs for their employees and their dependents and health systems that cover our programs for patients, among other types of customers. In addition, our channel partners, which include certain of the health plans, PBMs, and other entities that we work with, operate as resellers of our programs to their employer customers or other end customers. Some of the health plans and PBMs we work with as channel partners also cover our programs directly, for a portion of their own members, as our customers. Sales from or through our top five health plan and PBM partners, including any sales to these entities as customers and sales through these entities as channel partners, represented 78% and 73% of our revenue for the three months ended March 31, 2026 and 2025, respectively, and 77% of our revenue for the year ended December 31, 2025. As of and for the three months ended March 31, 2026 we had one health plan or PBM that accounted for 27% of our accounts receivable, net and 33% of our revenue, and a second health plan or PBM that accounted for 37% of our accounts receivable, net and 33% of our revenue. As of and for the three months ended March 31, 2025, we had one health plan or PBM that accounted for 24% of our accounts receivable, net and 31% of our revenue, and a second health plan or PBM that accounted for 35% of our accounts receivable, net and 29% of our revenue. For the year ended December 31, 2025, we had one health plan or PBM that accounted for 32% of our revenue, and a second health plan or PBM that accounted for 33% of our revenue. Each of these health plans or PBMs are affiliates of The Cigna Group. In general, our customers and channel partners work with us on a non-exclusive basis, and large customers or channel partners can have significant market power to negotiate terms and discounts. If we are unable to establish, maintain, or grow these relationships over time on favorable terms or if customers or channel partners refer business to our competitors instead, we are likely to generate less revenue and fail to recover these costs and our results of operations and prospects will suffer. The loss of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of our key customers or channel partners could negatively impact our revenue as we work to obtain new customers or establish replacement channel partner relationships. Contracts with our key customers and channel partners may be terminated before their term expires for various reasons, subject to certain conditions. For example, most of our contracts are terminable for convenience by our customers and channel partners, subject to a notice period. Certain contracts may be terminated immediately by the customer or channel partner if we go bankrupt, if we lose applicable licenses or are suspended or debarred from participation in government-funded healthcare programs, or if we fail to comply with certain specified laws.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could also lose customers if those customers contract for our programs through a health plan or other channel partner and subsequently elect to migrate to a new health plan or channel partner with which we do not have an existing contractual relationship for certain programs or at all or are not able to establish a new contractual relationship. Because many benefit-planning cycles align with the calendar year, a concentrated number of customers may make changes to the programs, medications, or other benefits that they cover, or the health plans or channel partners that they work with, at the start of a calendar year. Additionally, mergers and acquisitions involving us, our customers, our channel partners, or their competitors could lead to cancellation or non-renewal of our contracts with those customers or channel partners or by the acquiring or combining companies, thereby reducing the number of our existing and potential customers, channel partners, and members. Acquisitions involving our customers or channel partners could also lead to a loss of customers, channel partners, or members if we are not contracted, or are unable to obtain a contract, with the acquiring company or its benefit providers or channel partners. In order to grow our business, we anticipate that we will continue to depend on our relationships with third parties, including our channel partners. Identifying channel partners and negotiating and documenting relationships with them requires significant time and resources. Our competitors may be effective in providing incentives to third parties to favor their products or services or to prevent or reduce enrollments in, or utilization of, our programs. If we are unsuccessful in establishing or maintaining our relationships with third parties, our ability to compete in the marketplace or to grow our revenue could be impaired, and our results of operations and prospects may suffer. Even if we are successful, these relationships may not result in increased use of our programs by customers, channel partners, or members or increased revenue.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are unable to attract new customers and channel partners and increase member enrollment from new and existing customers and channel partners, our revenue growth could be slower than we expect, and our business may be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generate, and expect to continue to generate, revenue from member enrollment and engagement in our programs. As a result, widespread acceptance and use of virtual-first care for chronic conditions in general, and our platform in particular, is critical to our future growth and success. If the market fails to grow or grows more slowly than we currently anticipate, demand for our programs could be negatively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achieve significant growth in revenue in the future will depend, in large part, upon our ability to attract new customers and channel partners. If we fail to attract new customers and channel partners and fail to maintain and expand new relationships, our revenue may grow more slowly than we expect, may not grow at all, or may decline, and our business may be adversely affected. Once we enter into an agreement with a customer or channel partner, our revenue will depend on the number of covered individuals we successfully enroll as members and their ongoing engagement in the programs. Demand for virtual-first care for chronic conditions in general, and our platform in particular, is affected by a number of factors, many of which are beyond our control. Some of these potential factors include: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awareness of our programs and the adoption of technology in healthcare generally;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availability of products and services that compete with ours;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ease of adoption and use;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features and program experience;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performance;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brand;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data privacy and cybersecurity;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pricing.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future revenue growth also depends upon increasing member enrollment with existing customers and channel partners. In addition, individuals may lose coverage for our programs because of benefits changes made by our channel partners or because those individuals make changes to their own benefits, including the health plan or PBM that provides their benefits, at the end of the benefit year or otherwise. If we are not successful in increasing member enrollment in the programs currently contracted for by our customers and channel partners (or future programs our customers or channel partners contract for over time), if a significant number of enrolled members are disenrolled from the program, or if our customers or channel partners do not renew their agreements or renew their agreements with us at lower prices or on less favorable terms, our revenue may grow more slowly than expected, may not grow at all, or may decline.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Customer and channel partner renewals may decline or fluctuate as a result of a number of factors, including the breadth of early deployment of our programs, meaningful reductions in our customers’ spending levels, changes in their business models and use cases, the actual or perceived clinical outcomes or cost savings of our programs, satisfaction or dissatisfaction with our programs among our customers and channel partners, our pricing or pricing structure, the pricing or capabilities of products or services offered by our competitors, or the effects of economic conditions. Any prolonged shutdown of a significant portion of global economic activity or a downturn in the global or domestic economy, including as a result of a pandemic or public health threat (such as the COVID-19 pandemic), would adversely affect the industries in which our customers and channel partners operate, which could adversely affect their willingness or ability to renew their agreements with us. If our customers or channel partners do not renew their agreements with us, or renew on terms less favorable to us, our revenue may decline.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Potential members’ failure to enroll after a customer or channel partner enters into an agreement with us could materially and adversely affect our business, financial condition, results of operations, and prospects.</w:t>
      </w:r>
    </w:p>
    <w:p>
      <w:pPr>
        <w:pStyle w:val="TextBody"/>
        <w:bidi w:val="0"/>
        <w:spacing w:lineRule="auto" w:line="288" w:before="0" w:after="240"/>
        <w:ind w:left="0" w:right="0" w:firstLine="450"/>
        <w:jc w:val="both"/>
        <w:rPr/>
      </w:pPr>
      <w:r>
        <w:rPr>
          <w:rFonts w:ascii="Times New Roman;serif" w:hAnsi="Times New Roman;serif"/>
          <w:b w:val="false"/>
          <w:color w:val="000000"/>
          <w:sz w:val="20"/>
        </w:rPr>
        <w:t>We believe our future success will depend in part on our ability to increase both the speed and success of member enrollment, by improving our member outreach, engagement, and enrollment methodology, hiring and training qualified professionals, and increasing our ability to integrate into large-scale, complex technology environments. In some cases, customers and channel partners initially enter into an agreement with us for one or more of our programs, but, for a variety of potential reasons, covered individuals fail to ultimately enroll at the expected volume. For example, the conditions that our programs address may be less prevalent among the covered individuals than we expect and/or our customers and channel partners may provide limited contact information for outreach campaigns or otherwise not adequately enable or permit outreach campaigns to covered individuals generally or at our preferred timing. In addition, we rely on email outreach to enroll covered individuals, and from time to time, the interfaces, features, or policies of email applications, email service providers, mobile device operating systems, or other relevant software are altered or updated, which may adversely impact our ability to effectively reach covered individuals to facilitate their enrollment, and as a result, could materially and adversely affect member enrollment rates. For these and other reasons, our forecasts may not accurately estimate enrollment rates or the number of enrolled members. For additional information on the assumptions we rely on to anticipate expected growth for our business and revenue, see the risk factor titled “</w:t>
      </w:r>
      <w:r>
        <w:rPr>
          <w:rFonts w:ascii="Times New Roman;serif" w:hAnsi="Times New Roman;serif"/>
          <w:b w:val="false"/>
          <w:i/>
          <w:color w:val="000000"/>
          <w:sz w:val="20"/>
        </w:rPr>
        <w:t>The market for our programs is new, rapidly evolving, and increasingly competitive, as the healthcare industry in the U.S. is undergoing significant structural change, which makes it difficult to forecast demand for our programs</w:t>
      </w:r>
      <w:r>
        <w:rPr>
          <w:rFonts w:ascii="Times New Roman;serif" w:hAnsi="Times New Roman;serif"/>
          <w:b w:val="false"/>
          <w:color w:val="000000"/>
          <w:sz w:val="20"/>
        </w:rPr>
        <w:t>.” If we are unable to achieve the expected volume of member enrollment, or unable to do so in a timely manner, customers and channel partners are unlikely to renew their agreements with us and/or expand their agreements with us to include additional programs, and we would not be able to generate future revenue from those relationships, and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our customers or channel partners are unwilling or unable to conduct or enable outreach campaigns directed at covered individuals, we may not enroll members at the rates we expect, which may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largely on information supplied by our customers and channel partners to conduct outreach campaigns directed at covered individuals, and though we often assist with these outreach campaigns, we do not control our customers’ or channel partners’ enrollment outreach schedules. As a result, if they are unwilling or unable to supply information needed for outreach campaigns or are unwilling or unable to enable outreach campaigns generally, or if enrollment launch dates are delayed, we could fail to meet our enrollment and revenue expectations, which may adversely impact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size of the addressable markets for our programs are estimates and may be smaller than we believe.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estimate of the total addressable market for our programs is based on a number of internal and third-party estimates. While we believe these factors have historically provided and may continue to provide us with effective tools in estimating the total market for prediabetes and diabetes, hypertension, cholesterol, musculoskeletal conditions, and our programs, these estimates may not be correct, and the conditions supporting our estimates may change at any time, thereby reducing the predictive accuracy of these underlying factors. As a result, our estimates of the total addressable market for our programs may prove to be incorrect. In addition, changes in underlying causes or risk factors for the conditions that our programs address, such as the impact of GLP-1 drugs on obesity, could impact our estimates of the total addressable market. If the actual number of members who would benefit from our programs and the total addressable market for our programs is smaller than we have estimated, our future growth could be adversely impacted.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will need to increase the size of our organization, including our Care Teams, and we may experience difficulties in managing growth and attracting talent. A deterioration in our relationships with our employees and other service providers could have an adverse impact on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we employed 943 full-time employees, which includes our health coaches and other Care Team members as well as individuals across sales and marketing, research and development, and general and administrative functions. In the future, we expect to expand our managerial, clinical, scientific, technological, operational, finance, and other resources in order to manage our operations and continue our program development activities. Our management and personnel, systems, and facilities currently in place may not be adequate to support this future growth. In particular, we rely in large part on our Care Teams for the delivery of our programs, and we may be unable to scale our Care Teams efficiently to manage costs through economies of scale due to limitations on the number of members that our Care Teams are able to support. If we fail to do so, we may incur significant costs, which could have a material adverse effect on our business, financial condition, results of operations, and prospects, and negatively impact our ability to achieve or sustain profitability in the future.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need to effectively execute our growth strategy requires that we efficiently identify, recruit, retain, incentivize, and integrate additional talent, and maintaining good relationships with our employees and other service providers is crucial to our operations. Our employees may attempt to unionize, which could limit our ability to manage our workforce effectively, cause disruptions to our operations, including as a result of strikes, work stoppages, or other labor disputes, and otherwise materially and adversely affect our business, financial condition, results of operations, and prospects.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the shift by companies to adopt business models billed based on enrollments, engagement, and/or outcomes, and, in particular, the market for our programs, develops more slowly than we expect, our growth may slow or stall, and our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success depends on companies shifting to business models billed based on enrollments, engagement, and/or outcomes and choosing to adopt healthcare products and services through such models. The adoption of these types of health management programs is still relatively new, and enterprises may choose not to shift their business models or, if they do, may decide that they do not need a healthcare solution that offers the range of services that we offer. Accordingly, it is difficult to predict adoption rates and demand for our programs, the future growth rate and size of our market, or the entry of competitive solutions. Factors that may affect market acceptance of our programs include: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number of companies shifting to these business models;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number of consumers and businesses adopting new, flexible ways to consume products and services;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success in informing covered individuals that our programs are available to them and the number of covered individuals that choose to enroll in our programs;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security capabilities, reliability, and availability of cloud-based services;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concerns from customers, channel partners, or members with entrusting a third party to store and manage their data, especially health-related, confidential, or sensitive data;</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minimize the time and resources required to launch our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maintain member engagement and high levels of member satisfaction;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provide measurable and meaningful cost savings to existing and potential customers and channel partners;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ability to deliver upgrades and other changes to our programs without disruption to our customers, channel partners, or members;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level of customization or configuration we offer within our programs;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price, cost-savings, performance, and availability of competing products and services.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markets for products and services billed based on enrollments, engagement, and/or outcomes generally, and for solutions for chronic conditions in particular, may not develop further or may develop more slowly than we expect. If companies do not shift to these business models and these health management tools do not achieve widespread adoption, or if there is a reduction in demand for these types of products and services or health management tools due to technological challenges, weakening economic conditions, data privacy or cybersecurity concerns, decreases in corporate spending, a lack of acceptance among prospective members, or otherwise, our business, financial condition, results of operations, and prospects could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programs may result in member harm or injury.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programs are designed under the oversight of qualified healthcare professionals, and we train our Care Teams and require any external partners delivering care to comply with appropriate standards and protocol for care delivery and the recognition and management of escalation events. Our success depends in part on the ability of these healthcare professionals to obtain and maintain all necessary licenses, certifications, permits, and other approvals, and to provide services to members in compliance with applicable laws, including scope of practice laws, as well as our policies. Nevertheless, if future results or experience indicate that our programs cause unexpected or serious complications or other unforeseen negative effects, our members may seek significant compensation from us or our affiliated professional entities or cease using our platform and programs, or our customers or channel partners could cease doing business with us. We may also be contractually required to indemnify and hold harmless third parties, such as customers or channel partners, from the costs of member harm or injury. There can be no assurance that provisions typically included in our terms with members or in our agreements with our customers and channel partners that attempt to limit exposure to legal claims would be enforceable or adequate or would protect us or our affiliated professional entities from liabilities or damages. Even if a claim is not successful, any claim brought against us or our affiliated professional entities would likely be time-consuming and costly to defend and any claim arising from our programs could seriously damage our reputation and brand, our business, or the business of our affiliated professional entities. In addition, we may not carry insurance sufficient to compensate us for any losses that may result from such claims. As a result, we or our affiliated professional entities could face significant legal liability or harm to our or our affiliated professional entities’ reputation,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Any disruption of service at our third-party data centers and hosting providers, including Amazon Web Services (“AWS”), or at software-as-a-service (“SaaS”) companies or other vendors could interrupt or delay our ability to deliver our programs to our customers, channel partners, and members and harm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host our platform, serve our customers, channel partners, and members, and support our operations primarily from third-party data centers and hosting providers, including AWS, a provider of cloud infrastructure services, and we also rely on other services provided by SaaS companies and other vendors. We expect this dependence on third parties to continue. We do not have control over the operations of the facilities of our data center providers or hosting providers, including AWS, SaaS companies, or other vendors. These facilities are vulnerable to damage or interruption from earthquakes, hurricanes, floods, fires, cyberattacks, terrorist attacks, power losses, telecommunications failures, public health emergencies, and similar events. The occurrence of a natural disaster or an act of terrorism, a decision to close the facilities without adequate notice, or other unanticipated problems could result in lengthy interruptions in our ability to deliver our programs. The facilities also could be subject to break-ins, computer viruses, sabotage, intentional acts of vandalism, and other misconduct. The continued and uninterrupted performance of our programs and connected devices provided in connection with our programs is critical to our success. We may experience material interruptions, disruptions, outages, and other performance problems to our systems as a result of third-party data centers and hosting providers,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including AWS, SaaS companies, or other vendors. Because our programs are used by our members to manage chronic conditions and inform programs of certain health plans, PBMs, employers, or other customers in approving certain prescriptions or refills, it is critical that our programs and related connected devices be accessible without significant interruption or degradation of performance. Members may become dissatisfied by any system failure that interrupts our ability to provide our programs to them or that impacts the functionality of the connected devices provided in connection with our programs. Outages could lead to the triggering of our service-level agreements or performance guarantees and the issuance of repayments to our customers and channel partners, in which case, we may not be fully indemnified for such losses pursuant to our agreement with AWS, SaaS providers, or other vendors. We may not be able to easily switch our AWS operations to another cloud provider if there are disruptions or interference with our use of AWS. Sustained or repeated system failures would reduce the attractiveness of our programs to customers, channel partners, and members and result in contract terminations, thereby reducing revenue and harming our business, financial condition, results of operations, and prospects. Moreover, negative publicity arising from these types of disruptions could damage our reputation and may adversely impact use and adoption of our programs. We may not carry sufficient business interruption insurance to compensate us for losses that may occur as a result of any events that cause interruptions in our ability to deliver our programs. To the extent we do not effectively respond to any such interruptions, upgrade our systems as needed, and continually develop our technology and network architecture to accommodate traffic, our business, financial condition, results of operations, and prospects could be materially and adversely affected. Furthermore, our disaster recovery systems and those of third parties with which we do business may not function as intended or may fail to adequately protect our critical business information in the event of a significant business interruption, which may cause cybersecurity breaches or the loss of data or functionality and could, in turn, lead to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third-party data center and hosting providers, including AWS, SaaS providers, and other vendors do not have an obligation to renew their agreements with us on commercially reasonable terms, or at all. If we are unable to renew our agreements with these providers on commercially reasonable terms, if our agreements with our providers are prematurely terminated, or if in the future we add additional data center or hosting providers, we may experience costs or downtime in connection with the transfer to, or the addition of, new providers. If these providers were to increase the cost of their services, we may have to increase the price of our programs, and our business, financial condition, results of operations, and prospects could be harmed.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depend on a limited number of third-party suppliers for certain devices and other supplies that we deliver to members in connection with our programs, for cellular device connectivity, and for certain complementary healthcare services provided by external partners, such as prescriptions or physician referrals, and the loss of any of these suppliers or partners, or their inability to support our required volume,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Most of our contracts with customers and channel partners require that we deliver certain connected devices and other supplies to new members within a certain period of time, and certain of our contracts also provide that we will coordinate with external partners for certain healthcare services complementary to and/or included in our programs, such as certain prescriptions or physician referrals. If we are unable to meet these obligations, our customers and channel partners may decide to terminate their contracts.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on a limited number of suppliers for devices and supplies that we deliver in connection with our programs, including wireless scales, blood pressure monitors, blood glucose monitors, and other supplies, and a limited number of third parties for cellular device connections. We utilize a single supplier and exclusive partner for continuous glucose monitors provided in Omada for Diabetes and work with a single distributor for delivery of the continuous glucose monitors. We also rely on a limited number of external partners to supply certain healthcare services complementary to and/or included in our programs, such as prescriptions for continuous glucose monitors or medications, or physician referrals to physical therapy, where required.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our business strategy to be successful, our suppliers and partners must be able to provide us with devices, supplies, connectivity, and services in sufficient quantities, in compliance with regulatory requirements and quality control standards, in accordance with agreed-upon specifications, at acceptable costs, and on a timely basis. Increases in our program sales, whether forecasted or unanticipated, could strain the ability of our suppliers and partners to deliver an increasingly large supply of devices, supplies, connectivity, or services in a manner that meets these various requirements. Our suppliers and partners may encounter problems that limit their ability to supply products, supplies, and services for us, or that result in increases in the prices they charge us for such products, supplies, and services, including financial difficulties, labor shortages, the imposition of new trade protection measures, such as tariffs and other duties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uncertainty related to the implementation and enforceability thereof), global conflicts, and shutdowns related to epidemics, pandemics, or other health crises, and, for our device and supply partners, shipping delays, damage to their manufacturing equipment or facilities, or challenges with establishing and operating new facilities in new jurisdictions. Quality or performance failures of these devices, supplies, connectivity, or services or changes in our partners’ financial or business condition could disrupt our ability to supply quality devices and supplies to our members or to connect them to quality services, which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dependent on a limited number of third-party manufacturers and suppliers who operate in international markets, which exposes us to foreign operational and political risks that may harm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on a limited number of manufacturers and suppliers for devices and supplies that we deliver in connection with our programs, including wireless scales, blood pressure monitors, blood glucose monitors, and other supplies, and, among other things, certain of the technology and raw materials used in the manufacturing of those devices and supplies. Most of the devices and supplies delivered in connection with our programs are currently manufactured in the Dominican Republic and China and may be manufactured in other international markets in the future. Our reliance on an international supply chain exposes us to risks and uncertainties,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controlling quality of supplies;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global conflicts and trade protection measures, such as tariffs and other duties (including uncertainty related to the implementation and enforceability thereof), especially in light of previous and potential future actions by the Trump Administration signaling more aggressive trade and other foreign policies, which could exacerbate trade disputes between the U.S. and several foreign countries, including China, as well as sanctions and export control measures targeting certain countries, and increases in the prices of devices and supplies delivered in connection with our programs; for example, the war in Iran has resulted in modest increases to device-related costs to date due to increased shipping costs;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political, social, and economic instability;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outbreak of contagious diseases, such as COVID-19;</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laws and business practices that favor local companies;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interruptions and limitations in telecommunication services, shipping services, or logistics;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product or material delays or disruption;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import and export license requirements and restrictions;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difficulties in the protection of intellectual property;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exchange controls, currency restrictions, and fluctuations in currency values;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potential adverse tax consequences.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any of these risks were to materialize, our third-party manufacturers and suppliers may be unable to provide the devices and other supplies in the required amounts or at the contracted cost. As a result, we may need to contract with new manufacturers and suppliers, which could increase our costs and delay the delivery of devices and other supplies to our members. Our contracts with customers and channel partners generally provide that we will deliver devices and supplies to members at the beginning of their participation in our programs, and any failure to do so could materially and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manufacturers and suppliers are unable to procure raw materials or semi-finished products or to produce the devices provided in connection with our programs, our business may suffer.</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the suppliers or third-party manufacturers of the devices provided in connection with our programs experience shortages, limited access to, or increased costs of certain raw materials and other semi-finished or finished goods, it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result in production delays or delays in deliveries to members of the connected devices and other supplies provided in connection with our programs. Production by one or more manufacturers or suppliers may be suspended or delayed, temporarily or permanently, due to economic or technical problems such as the insolvency of the manufacturer, the failure of the manufacturing facilities, or disruption of the production process, all of which are beyond our control. Any shortage, delay, or interruption in the availability of the connected devices and supplies provided in connection with our programs may negatively affect our ability to meet demand. As a result, our business may be unable to offer a satisfactory experience to customers, channel partners, and members, which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experience seasonality in our business, which may cause fluctuations in our financial results.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Historically, we have experienced, and expect to continue to experience, seasonality in our business, with a higher number of closed sales in the late spring and early fall and higher enrollment launch rates in the first and second quarters of the year. We believe that this results in part from the timing of open enrollment periods of many of our customers. In addition, because many benefit-planning cycles align with the calendar year, a a concentrated number of employers, health plans, PBMs, or other customers or channel partners may make changes to the programs, medications, or other benefits that they cover at the start of a calendar year. We may be affected by seasonal trends in the future, particularly as our business matures. These effects may become more pronounced as we target larger organizations with larger budgets for use of our programs. These factors may contribute to substantial fluctuations in our quarterly results of operations. Because of these fluctuations, among other factors, it is possible that in future periods our results of operations will fall below the expectations of securities analysts or investors, in which case the market price of our common stock would likely decrease. These fluctuations, among other factors, also mean that our results of operations in any particular period may not be relied upon as an indication of future performance.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or the third parties upon whom we depend may be adversely affected by natural disasters and other catastrophic events, and our business continuity and disaster recovery plans may not adequately protect us from a serious natural disaster or other catastrophic event. Any interruption in our operations or the operations of third parties who supply the devices and other supplies provided in connection with our programs, connectivity of those devices, or services complementary to our programs may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Severe weather, natural disasters, and other catastrophic events, including pandemics or other public health crises (such as the COVID-19 pandemic), earthquakes, tsunamis, hurricanes, floods, fires, explosions, accidents, power outages, cyberattacks, telecommunications failures, mechanical failures, unscheduled downtimes, civil unrest, strikes, transportation interruptions, unpermitted discharges or releases of toxic or hazardous substances, other environmental risks, wars or other conflicts (including wars in Ukraine and the Middle East), sabotage, terrorist attacks, or other intentional acts of vandalism or misconduct could severely disrupt our operations, or the operations of third parties who supply the devices and other supplies provided in connection with our programs, connectivity of those devices, or services complementary to our programs, and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a natural disaster or other catastrophic event occurs that prevents us or third-party suppliers from using all or a significant portion of our or their headquarters or other facilities, that damages critical infrastructure, such as our enterprise financial systems or manufacturing resource planning and enterprise quality systems, or that otherwise disrupts operations, it may be difficult or, in certain cases, impossible, for us to continue our business for a substantial period of time. A mechanical failure or disruption affecting any major operating line may result in a disruption to our ability to supply customers, channel partners, and members, and standby capacity may not be available. The disaster recovery and business continuity plans we have in place currently are limited and are unlikely to prove adequate in the event of a serious disaster or similar catastrophic event. The potential impact of any disruption would depend on the nature and extent of the damage caused by a disaster.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 Furthermore, integral parties in our supply chain are similarly vulnerable to natural disasters or other sudden, unforeseen, and severe adverse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events. If such an event were to affect our supply chain, it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subject to a number of risks related to the credit card and debit card payments we accept.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accept payments from a limited number of members who pay member cost-sharing amounts, such as copayments, deductibles, or co-insurance, for our programs and pay those amounts through credit and debit card transactions. We receive these payments through third-party providers, which subjects us to compliance with the rules of the payment card networks (including the payment card industry data security standards) and laws and regulations governing electronic funds transfers, which could change or be reinterpreted to make it more difficult for us to comply. Although we primarily rely on these third-party providers for payment processing, to the extent a data breach of payment data occurs on our or their systems, we may be liable for significant costs incurred by customers, channel partners, banks, and other third parties or subject to fines and higher transaction fees, or our ability to accept or facilitate certain types of payments may be impaired. In the event of any fraud, if we fail to adequately control fraudulent transactions, we may face civil liability, diminished public perception of our security measures, and significantly higher payment-related costs, each of which could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failure on our part to comply fully with the foregoing laws, rules, and regulations also may subject us to fines, penalties, damages, and civil liability, and may result in the loss of our ability to accept credit and debit card payments. Further, there is no guarantee that such compliance will prevent illegal or improper use of our payment systems or the theft, loss, or misuse of data pertaining to bank accounts, credit and debit cards, card holders, and transactions.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use AI and machine learning to operate certain features of our programs and to enable certain business processes, which due to a changing regulatory landscape, could adversely affect our business, financial condition, and results of operations.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AI, machine learning, and automated decision-making technologies, including our own and third-party AI and machine learning algorithms and models (collectively, “AI technologies”) throughout our business, and we are making significant investments in this area. For example, we use AI technologies to generate and surface insights to our Care Teams as part of our efforts to increase their efficiency and productivity and to power certain member-facing features of our programs intended to deliver only educational resources, recommendations, or support, in each case, for maintaining or encouraging a healthy lifestyle. This includes OmadaSpark, an AI-powered assistant that works directly with members alongside our Care Teams to support instant meal tracking and nutrition education, and Meal Map, an AI-driven nutrition experience that helps members understand the quality of their food choices.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that additional investment will be required to continuously improve our use of AI technologies. As with many technological innovations, there are significant risks involved in the development, deployment, and maintenance of AI technologies, and there can be no assurance that our or our third-party service providers’ or partners’ use of these technologies will perform as expected, enhance our products or services, or be beneficial to our business, including our efficiency or profitability. For example, the continued use of any AI technologies in our products and services, or those of our third-party service providers and partners, may give rise to risks related to, among other things, inaccurate, biased, unreliable, or harmful recommendations or outputs, data privacy, confidentiality, cybersecurity and data provenance concerns; the potential for third-party AI model providers to leak or misuse our data; the risk of data poisoning or other adversarial attacks on AI systems; new or enhanced governmental or regulatory scrutiny; litigation or other legal liability; ethical concerns; claims that we have overstated the capabilities of our AI technologies; negative perceptions as to AI among customers, channel partners, or members, and other complications that could erode confidence in our brand, harm our reputation, and adversely affect our business, financial condition, results of operations, and prospects. While we have instituted policies applicable to our Care Teams and other employees and consultants that govern the development and use of AI, these individuals may breach or violate the terms of these policies, including through the use of unapproved AI technologies or the use of approved AI technologies in unapproved ways, which may result in loss or unauthorized disclosure of sensitive information, including PHI, in a manner that violates applicable laws, rules, and regulations or contractual commitments to third parties, as well as other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face significant competition from other companies with respect to utilizing AI technologies. To the extent AI technology development and utilization from our industry competitors proves to be successful, or more successful than our approach, demand for our programs, and thus our business, could be adversely affected. If we cannot develop, offer, or deploy new AI technologies as effectively, as quickly, and/or as cost-effectively as our competitors, or if we cannot access the infrastructure needed to continue our development, our operating results, relationships with customers and channel partners, and growth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rapid evolution of AI technologies will require the application of resources to develop, test, maintain, and improve our programs to help ensure that the AI technologies are, and remain, accurate and efficient. We expect our AI technology initiatives will over time require increased investment in technology infrastructure and may require additional specialized headcount. The continuous development, testing, maintenance, and deployment of our AI technologies may also increase the cost profile of our offerings and may involve unforeseen difficulties including material performance problems, undetected defects, or errors. We may encounter technical obstacles, and it is possible that we may discover additional problems that may prevent our AI technologies from operating properly, which could adversely affect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our own AI technologies, we use AI technologies licensed from third parties in our technologies, and our ability to continue to use such technologies at the scale we need may be dependent on access to specific third-party software and infrastructure.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will be harmed. In addition, to the extent any third-party AI technologies are used as a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use AI technologies, including tools provided by third parties, to develop or assist in the development of our own software code. While use of such tools can make our development process more efficient, AI technologies have sometimes generated content that is “substantially similar” to proprietary or open source code on which the AI tool was trained. If the AI technologies generate code that is too similar to other proprietary code, or to software processes that are protected by patent, we could be subject to intellectual property infringement claims. We also may not be able to anticipate and detect security vulnerabilities in any AI-generated software code. If our tools generate code that is too similar to open source code, we risk losing protection of any of our own proprietary code that may be commingled with that code. Finally, to the extent we use third-party AI technologies to develop software code, the terms of use of these tools may state that the third-party provider retains rights in the generated code.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regulatory framework for AI is rapidly evolving, and many federal, state, and foreign governmental bodies and agencies have introduced and/or are currently considering additional laws and regulations. In the U.S., the regulatory framework for AI technologies faces significant uncertainty. At the federal level, Congress has yet to enact meaningful AI legislation. Instead, federal policy on AI has been shaped by a series of executive orders that have shifted priorities and requirements substantially depending on the administration in power.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absence of federal AI legislation, states have filled the void by enacting laws regulating different aspects of AI technologies. For example, the California Privacy Protection Agency has finalized regulations under the California Consumer Privacy Act, as amended by the California Privacy Rights Act of 2018 (collectively, the “CCPA”), regarding the use of automated decision-making and providing disclosures to consumers regarding such use. California also enacted a number of laws that further regulate use of AI technologies and provide consumers with additional protections around companies’ use of AI technologies, such as requiring companies to disclose certain uses of generative AI and other transparency requirements. Other states have also passed AI-focused legislation, such as Colorado’s Artificial Intelligence Act, which will require developers and deployers of “high-risk” AI systems to implement certain safeguards against algorithmic discrimination, and Utah’s Artificial Intelligence Policy Act, which establishes disclosure requirements and accountability measures for the use of generative AI in certain consumer interactions. Many states have also enacted sector-specific AI laws, including related to the use of AI for health-related purposes. However, the durability of these laws and the potential of additional state-level legislative activity faces uncertainty following President Trump’s December 2025 Executive Order “Ensuring a National Policy Framework for Artificial Intelligence” and the Trump Administration’s subsequent National Policy Framework for Artificial Intelligence issued in March 2026. This Executive Order and the subsequent framework establish a federal policy favoring a uniform national AI regulatory framework designed to promote innovation and U.S. global competitiveness. The order and framework direct federal agencies to identify, challenge, and potentially pre-empt state and local AI laws that are viewed as inconsistent with or burdensome to this national approach. It remains to be seen how agencies will effectuate this directive and how states will approach AI legislation moving forward.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New laws, rules, directives, and regulations governing AI technologies and changes to existing ones may adversely affect the ability of our business to use or rely on certain AI technologies. Implementation standards and enforcement practice are likely to remain uncertain for the foreseeable future, and we cannot yet determine the impact future laws, regulations, standards, or perception of their requirements may have on our programs and our business. We may not always be able to anticipate how to respond to these new or updated laws or regulations, and they may affect our ability to use AI technologies. Further, the cost to comply with such laws or regulations, or decisions and/or guidance interpreting existing laws, including the redesign of our platform or programs to achieve compliance, could be significant and could increase our operating expenses, and we may be at increased risk of claims against us. Any actual or perceived failure to comply with evolving regulatory frameworks around the development and use of AI technologies could materially and adversely affect our brand, reputation,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fail to attract and retain senior leadership and key clinical, scientific, and technology employees and other service providers, our business may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our continued ability to attract, retain, and motivate highly qualified leadership and clinical and scientific talent. We are highly dependent upon our senior leadership, particularly our Co-Founder and Chief Executive Officer, Sean Duffy, our President, Wei-Li Shao, and our Chief Financial Officer, Steve Cook, as well as our senior clinical, scientific, and technology employees and other service providers and other members of our senior management team. Mr. Duffy, Mr. Shao, Mr. Cook, and other members of our senior management team are at-will employees, which means that they could resign or be terminated for any reason at any time. The unplanned loss of the services of any of our members of senior leadership could materially and adversely affect our business until a suitable replacement can be found, which may not be immediate and could require us to expend significant resources.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Competition for qualified talent in the digital health field in general is intense due to the limited number of individuals who possess the training, skills, and experience required by our industry. In addition, our future growth and success also depend on our ability to attract, recruit, develop, and retain skilled managerial, clinical, scientific, sales, administration, operating, and technical employees and other service providers. We will continue to review, and where necessary, strengthen, our senior leadership as the needs of our business develop, including through internal promotion and external hires. However, there may be a limited number of persons with the requisite competencies to serve in these positions, and we cannot assure you that we would be able to locate or employ such qualified talent on terms acceptable to us, or at all. Therefore, the unplanned loss of one or more of our key employees or other service providers, or our failure to attract and retain additional key employees or other service providers, could have a material adverse effect on our business, financial condition, results of operations, and prospects. In addition, to the extent we hire talent from competitors, we may be subject to allegations that such employees or other service providers have divulged proprietary or other confidential information.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success is dependent upon our continued ability to recruit and maintain the personnel for our member-facing Care Teams, composed of health coaches, relevant specialists, and licensed physical therapists. Our Care Teams are intended to remain with a member throughout their entire journey with Omada. If we are unable to recruit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retain Care Team personnel, our ability to provide continuity of care to our members may suffer, and our business may be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rely largely on our direct sales force, and if we are unable to maintain or expand our sales force, it could impede our growth or harm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largely on our direct sales force to market and sell our products to customers and channel partners. We do not have any long-term employment contracts with the members of our direct sales force. Our results of operations are directly dependent upon the sales and marketing efforts of our sales and customer support teams. If our employees fail to adequately promote, market, and sell our products, our sales could significantly decrease. If our sales and marketing representatives fail to achieve their objectives, we may not enter into agreements with new customers or channel partners or maintain existing agreements, and member enrollment could decrease or may not increase at levels that are in line with our forecasts. As we launch new programs, expand our program offerings, and increase our marketing efforts with respect to existing programs, we will need to expand the reach of our marketing and sales networks. Our future success will depend largely on our ability to continue to hire, train, retain, and motivate skilled employees with significant technical knowledge in various areas. New hires require training and take time to achieve full productivity.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other companies in our industry may rely predominantly or in part on third-party resellers or other distributors. Our direct sales force may subject us to higher fixed costs than those of any competitors that market their products through independent third parties, due to the costs associated with employee benefits, training, and managing sales personnel. As a result, we could be at a competitive disadvantage. Additionally, these fixed costs may slow our ability to reduce costs in the face of a sudden decline in demand for our programs, which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 decline in the prevalence of employer-sponsored healthcare could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currently derive a large portion of our revenue from our arrangements with customers that purchase healthcare for their employees (via insurance or self-funded benefit plans), either through direct contracts with us or through our relationships with our channel partners, including health plans, PBMs, and other resellers. These customers provide benefits for all or a portion of their employees who, in turn, may become eligible members. A large part of the demand for our programs among customers depends on the need of these employers to manage the costs of healthcare services that they pay on behalf of their employees, including in many cases the costs of GLP-1s. Various factors, including changes in the healthcare insurance market or in government regulation of the healthcare or pharmaceutical industries, could cause a decline in employer sponsorship of healthcare or medications, which could adversely affect the market for our programs and negatively affect our business and results of operations. In some cases, employers may choose to allow their employees to rely entirely on discounted self-pay options from major manufacturers or through government initiatives for medications like GLP-1s. Separately, some experts have predicted that future healthcare reform will encourage employer-sponsored health insurance to become significantly less prevalent as employees migrate to obtaining their own insurance over state-sponsored insurance marketplaces. Other changes or developments in U.S. health insurance markets, including efforts to create a single-payer or government-run health insurance program, could also have a material adverse effect on our business, financial condition, results of operations, and prospects. If any of these changes were to occur, there is no guarantee that we would be able to compensate for the loss in revenue derived from customers by increasing member acquisition through other channels, and our business, financial condition, results of operations, and prospects could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sales and implementation cycle can be long and unpredictable and requires considerable time and expense. As a result, our sales and revenue are difficult to predict and may vary substantially from period to period, which may cause our results of operations to fluctuate significantly.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timing of our sales and related revenue recognition is difficult to predict because of the length and unpredictability of our sales cycle, particularly with respect to large organizations and government entities. The sales cycle for our programs from initial contact with a potential customer or channel partner to member enrollment launch varies widely, ranging in some cases to over a year. Some of our customers and channel partners, especially in the case of large organizations and government entities, undertake a significant and prolonged evaluation process, including to determine whether our programs meet their unique healthcare needs, which frequently involves evaluation of not only our programs but also other available solutions, which results in extended sales cycles. Our sales efforts involve educating our customers and channel partners about the ease of use, technical capabilities, and potential benefits of our programs. During the sales cycle, we expend significant time and money on sales and marketing activities, which lowers our operating margins, particularly if no sale occurs. For example, there may be unexpected delays in the internal procurement processes of our customers and channel partners, particularly for some larger organizations and government entities for which our programs represent a small percentage of their total procurement activity. There are many other customer-specific factors that contribute to the timing of purchases and resulting timing of our revenue recognition, including the strategic importance of a particular project to a customer or channel partner, budgetary constraints, funding authorization, and changes in their personnel. In addition, the significance and timing of our program enhancements and the introduction of new products or solutions by our competitors may also affect purchases. Even if a customer or channel partner decides to purchase our programs, there are many factors affecting the timing of our recognition of revenue, which makes our revenue difficult to forecast. For example, once a customer or channel partner enters into an agreement with us, we work with them to identify the eligible population and then launch an enrollment process. Time from signing to launch typically takes an average of approximately three months and can take significantly longer for complex channel partners. Our channel partners resell our programs to their end customers, and there can be no assurance that any newly signed channel partner relationship will result in significant additional revenue near-term or at all. As part of the enrollment process, we incur significant expense explaining the benefits of our programs again to potential members to encourage them to enroll. We do not receive any payment from our customers or channel partners until members enroll and begin using our programs, which could be months following signing an agreement for our programs. Because there can be a significant delay before we generate revenue following the execution or announcement of a new contract with a customer and - in particular - with channel partners, it can be difficult to predict whether a contract will generate significant revenue and on what timeline.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Moreover, our contracts with customers and channel partners generally may provide that some fees are subject to repayment if certain clinical outcomes or other performance criteria are not met. For all of these reasons, it is difficult to predict whether a sale will be completed, the particular period in which a sale will be completed, the period in which revenue from a sale will be recognized, or the amount of revenue that we will ultimately recognize.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It is possible that in the future we may experience even longer sales cycles, more complex customer and channel partner needs, higher upfront sales costs, and less predictability in completing some of our sales as we continue to expand our direct sales force and channel partner relationships, expand into new territories, and market additional programs to potential customers and channel partners. If our sales cycle lengthens or our substantial upfront sales and implementation investments do not result in sufficient sales to justify our investments, our revenue could be lower than expected, and it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Any failure to offer high-quality support for our customers, channel partners, and members may adversely affect our relationships with our existing and prospective customers, channel partners, and members and, in turn,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customers and channel partners, in implementing our programs, and our members, in using our programs, depend on our support teams to resolve issues in a timely manner. We may be unable to respond quickly enough to accommodate short-term increases in demand for support. We also may be unable to modify the nature, scope, and delivery of our programs or support for customers, channel partners, and members to compete with changes in solutions provided by our competitors. Increased demand for support could increase costs and adversely affect our financial condition, results of operations, and prospects. Our sales are highly dependent on our reputation and on positive recommendations from our existing customers, channel partners, and members. Any failure to maintain high-quality support, or a market perception that we do not maintain high-quality customer or member support, could adversely affect our reputation and our ability to sell our programs and, in turn,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fail to develop widespread brand awareness cost-effectively or are subject to widespread negative media coverage, our business may suffer.</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developing and maintaining widespread awareness of our brand in a cost-effective manner is critical to achieving widespread adoption of our programs and attracting new customers, channel partners, and members. Our brand promotion activities may not generate awareness among customers, channel partners, or members or increase revenue, and even if they do, any increase in revenue may not offset the expenses we incur in building our brand. If we fail to successfully promote and maintain our brand, or incur substantial expenses in doing so, we may fail to attract or retain customers, channel partners, or members necessary to realize a sufficient return on our brand-building efforts or to achieve the widespread brand awareness that is critical for broad adoption of our programs.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unfavorable publicity regarding us or our management, our business, our programs, our peer reviewed publications or studies, the healthcare industry generally and/or virtual care providers specifically, litigation or regulatory activity, or our data privacy, cybersecurity, AI, safety, or other business practices, or those of our business partners or other participants in our industry, could materially and adversely affect our reputation. For example, news media outlets may from time to time provide negative coverage regarding virtual care, including with respect to the effectiveness of virtual care programs. If public perception is influenced by claims that virtual care programs are not effective for treating chronic conditions, whether related to our programs or those of our competitors, our programs may not be accepted by potential customers, channel partners, or members. Moreover, negative publicity regarding the virtual care industry generally, or adjacent industries like those of PBMs or pharmaceutical companies, may result in increased regulation and legislative review of industry practices that further increase the costs of doing business. Any negative media coverage or public perceptions about us, our industry, or our business partners, regardless of the accuracy of such reporting or perceptions, may have an adverse impact on our business and reputation, as well as have an adverse effect on our ability to attract and retain customers, channel partners, members, or employees, and result in decreased revenue, which could materially and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are not able to develop and release new programs and services or to develop and release successful enhancements to, new features for, and modifications to our existing programs, services, and platform, our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markets in which we operate are characterized by rapid technological change, frequent new product and service introductions and enhancements, changing demands from customers and channel partners, updates to clinical guidelines and best practices, and evolving industry standards. The introduction of new drugs, changes in clinical guidelines or healthcare benefits, or the evolution of products and services embodying new technologies can quickly make existing products and services obsolete and unmarketable. In particular, the rapid pace of innovation in AI and machine learning can lead to the development of new, improved, or more cost-effective solutions that could render our programs and offerings less competitive or obsolete. Additionally, changes in laws and regulations could impact the usefulness of our programs and could necessitate changes or modifications to our programs to accommodate such changes.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invest substantial resources in researching and developing new programs and enhancing our programs and platform by incorporating additional features, improving functionality, and adding other improvements to meet market demands and our members’ evolving needs. The success of any enhancements or improvements to our platform, programs, or any new programs depends on several factors, including timely completion, competitive pricing, adequate quality testing, integration with new and existing technologies in our programs platform and third-party partners’ technologies, clinical results, cost effectiveness, and overall market acceptance. Our development of programs also depends on rights or interests in certain intellectual property, which we or third parties on which we rely may own or license. We may not succeed in developing, marketing, and delivering on a timely and cost-effective basis enhancements or improvements to our platform, programs, or any new programs that respond to continued changes in market demands or new requirements from customers or channel partners, and any enhancements or improvements to our platform, programs, or any new programs may not achieve market acceptance or may otherwise be negatively impacted by third-party actions that are outside of our control. For example, we have developed GLP-1 Care Tracks to support members who are engaged in one of our cardiometabolic programs to enable their success before, during, and after GLP-1 therapy, and we recently announced the capability to prescribe GLP-1 therapies and other AOMs as an extension of those offerings. The GLP-1 therapeutic space is new and rapidly evolving, and actions by employers, health plans, PBMs, pharmaceutical companies, and other third parties. including federal, state, or local governments, could negatively impact the adoption of our GLP-1 Care Tracks and prescribing offerings. For example, if pharmaceutical companies restrict cost rebates or other incentives for GLP-1s for employers who place conditions on the use of GLP-1s (such as participation in our program), market acceptance of our GLP-1 Care Tracks and prescribing offerings could be materially and adversely affected. Conversely, certain health plans, PBMs, employers, or other customers or channel partners may require that members enroll in, and engage with, one of our GLP-1 Care Tracks and/or obtain prescriptions through our prescribing offerings as a condition of receiving GLP-1 medications. When health plans, PBMs, employers, or other customers or channel partners require that members enroll in, and engage with, one of our GLP-1 Care Tracks and/or obtain prescriptions through our prescribing offerings as a condition of receiving GLP-1 prescriptions, we may provide data reporting that those customers and channel partners use in their review or adjudication of prescription requests and/or prescriptions necessary for obtaining the medications. If our data reporting or prescribing systems or processes are delayed, disrupted, or otherwise fail to work as intended, the prescription processes of our customers and channel partners may be negatively affected, which may result in delayed prescriptions or medications, which in turn could cause member harm or materially and adversely impact our relationships with customers and channel partners. Although, as of March 31, 2026, FDA-approved labels guided that GLP-1 therapies prescribed in adults for obesity or chronic weight management should be prescribed concurrently with a behavioral and lifestyle treatment plan, members could react negatively to these requirements. Although these conditions are not imposed by Omada directly, members could nevertheless attribute these requirements to us and develop a negative perception of us or our programs and our business, which could harm our brand and reputation. Moreover, if the use of GLP-1 therapy for weight loss receives negative publicity and/or one or more GLP-1s are determined to be harmful, the use of GLP-1s for weight loss could decline, which would reduce demand for our GLP-1 Care Tracks and prescribing offerings and, in turn, our business, financial condition, results of operations, and prospects may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Since developing our platform and programs and acquiring new technologies is complex, the timetable for the release of new programs and enhancements to existing programs and our platform is difficult to predict, and we may not offer new programs and updates to existing programs and our platform as rapidly as our customers or channel partners require or expect. Any new programs or updates to our platform that we develop or acquire may not be introduced in a timely or cost-effective manner, may contain errors or defects, or may not achieve the broad market acceptance necessary to generate sufficient revenue. Moreover, even if we introduce new programs, we may experience a decline in revenue of our existing programs that is not offset by revenue from the new programs. For example, customers and channel partners may delay making purchases of new programs to permit them to make a more thorough evaluation of these programs or until industry and marketplace reviews become widely available. Some customers or channel partners may hesitate to migrate to a new platform or program due to concerns regarding the performance of the new platform or program. This could result in a temporary or permanent revenue shortfall and materially and adversely affect our business, financial condition, results of operations, and prospects.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Public opinion and scrutiny of treatments for obesity and overweight may impact public perception of our company and offerings or may adversely affect our ability to conduct our business and our business plans.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Public perception may be influenced by claims, such as claims that products prescribed in connection with our programs are unsafe, unethical, or immoral, and consequently, our approach may not gain the acceptance of the public or the medical community. Negative public reaction to treatments for obesity and overweight in general could result in greater government regulation and stricter labeling requirements of products to treat these chronic conditions, including products prescribed through our offerings. For example, severe adverse events observed with GLP-1 receptor agonists include, but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are not limited to, acute pancreatitis, acute gallbladder disease, acute kidney injury, and severe gastrointestinal adverse reactions. Such side effects associated with GLP-1 receptor or GLP-1/GIP receptor targeting treatments may negatively impact public perception of us or products prescribed through our offerings. Adverse events associated with products prescribed through our offerings, even if not ultimately attributable to those prescribing activities, and the resulting publicity could result in increased governmental regulation and unfavorable public perception. More restrictive government regulations or negative public opinion could have an adverse effect on our business, financial condition, results of operations, and prospects.</w:t>
      </w:r>
    </w:p>
    <w:p>
      <w:pPr>
        <w:pStyle w:val="TextBody"/>
        <w:bidi w:val="0"/>
        <w:spacing w:before="0" w:after="0"/>
        <w:ind w:left="0" w:right="0" w:firstLine="45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To the extent we expand internationally we will face additional business, political, regulatory, operational, financial, and economic risks, any of which could increase our costs, hinder our growth, and harm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Historically, substantially all of our sales have been to customers and channel partners in the U.S. Expanding our business to attract customers, channel partners, and members in countries other than the U.S. in the future may be an element of our long-term business strategy and, to the extent we enter into international markets in the future, there are significant costs and risks inherent in conducting business in international markets. In addition, expansion into foreign markets would impose additional burdens on our executive and administrative personnel, finance, and legal teams, research and marketing teams, and general managerial resources. If we expand, or attempt to expand, into foreign markets, we will be subject to new business and regulatory risks,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multiple, conflicting, and changing laws and regulations such as tax laws, privacy, data protection, and AI-related laws and regulations, export and import restrictions, employment laws, regulatory requirements, and other governmental approvals, permits, and licenses, which may be more difficult to comply with than U.S. laws and regulations;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obtaining regulatory approvals or clearances where required for the sale of our programs and the delivery of connected devices provided in connection with our programs in various countries;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increased management, infrastructure, and legal compliance costs associated with having customers, channel partners, and members in multiple jurisdictions;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requirements to maintain data and the processing of that data on servers located within the U.S. or in such other countries;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protecting and enforcing our intellectual property rights;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complexities associated with managing multiple payer reimbursement regimes, including government payers;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logistics and regulations associated with shipping our wireless scales, blood pressure monitors, blood glucose monitors, and other connected devices and supplies;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competition from companies with significant market share in international markets and with a better understanding of user preferences in such markets;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financial risks, such as longer payment cycles, difficulty collecting accounts receivable, the effect of local and regional financial pressures on demand and payment for our programs, and exposure to foreign currency exchange rate fluctuations;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natural disasters, political and economic instability, including wars, terrorism, political unrest, public health threats or outbreaks of disease (including a pandemic similar to the COVID-19 pandemic), boycotts, curtailment of trade, and other market restrictions;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regulatory and compliance risks that relate to maintaining accurate information and control over activities subject to regulation under the Foreign Corrupt Practices Act (the “FCPA”).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continue to expand our business and to attract talented employees, customers, channel partners, and members in various international markets will require considerable management attention and resources and is subject to the challenges of supporting a rapidly growing business in an environment of multiple languages, cultures, customs, legal systems, alternative dispute resolution systems, regulatory systems, and commercial infrastructures. We have limited experience with regulatory environments and market practices internationally, and we may not be able to penetrate or successfully operate in new markets. We may also encounter difficulty expanding into international markets because of limited brand recognition in certain parts of the world, leading to delayed acceptance of our programs by customers and channel partners in these international markets. If we are unable to expand internationally and manage the complexity of international operations successfully, it could have a material adverse effect on our business, financial condition, results of operations, and prospects. If our efforts to introduce our products into foreign markets are not successful, we may have expended significant resources without realizing the expected benefit. Ultimately, the investment required for expansion into foreign markets could exceed the results of operations generated from this expansion.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be unable to successfully execute on our growth initiatives, business strategies, or operating plans.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continually executing on growth initiatives, strategies, and operating plans designed to enhance our business and enhance the efficacy of our programs, which may include expanding our programs to address additional chronic conditions. The anticipated benefits from these efforts are based on several assumptions that may prove to be inaccurate. Moreover, we may not be able to successfully complete these growth initiatives, strategies, and operating plans and realize all of the benefits, including growth targets and cost savings, that we expect to achieve or it may be more costly to do so than we anticipate. A variety of risks could cause us not to realize some or all of the expected benefits, including delays in the anticipated timing of activities related to such growth initiatives, strategies, and operating plans, increased difficulty and cost in implementing these efforts, including difficulties in complying with changing regulatory requirements, and the incurrence of other unexpected costs associated with operating our business. 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our business, financial condition, results of operations, and prospects may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the licensed physical therapists who provide services to our members are characterized as employees, our business, financial condition, and results of operations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enter into agreements with a professional corporation, Physera Physical Therapy Group, PC (“PPTG”), which enters into contracts with licensed physical therapists pursuant to which they render professional services to our members. PPTG typically engages most of these physical therapists as independent contractors, not employees.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Although we believe that these physical therapists are properly characterized as independent contractors, tax or other regulatory authorities may in the future challenge our characterization of these relationships. If such regulatory authorities or state, federal, or foreign courts were to determine that these providers or experts are employees and not independent contractors, PPTG would be required to withhold income taxes, to withhold and pay social security, Medicare, and similar taxes and to pay unemployment and other related payroll taxes. PPTG would also be liable for unpaid past taxes and subject to penalties and could also potentially face claims for overtime or benefits. The costs of defending, settling, or resolving any claims relating to the independent contractor status of the physical therapists could be material. Further, any such reclassification could force us to restructure our relationship with PPTG, could force PPTG to modify its relationships with physical therapists, and could add complexity to our business model. As a result, any determination that these physical therapists are employees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Relating to Cybersecurity, Information Systems, and Intellectual Property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information technology (“IT”) systems and those of our affiliated professional entities, or those used by our third-party service providers, vendors, business partners, or other contractors or consultants, may fail or suffer cybersecurity incidents, data breaches, and other disruptions, which could result in a material disruption of our systems or programs, compromise confidential information related to our business or of our customers or channel partners, including protected health information (“PHI”) and other sensitive or personal information of employees, covered individuals, and members, or prevent us from accessing critical information, potentially exposing us to liability or otherwise materially and adversely affecting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collect and maintain information in digital form that is necessary to conduct our business, and we are increasingly dependent on IT systems and infrastructure to operate our business, including our member-facing mobile and web-based applications, any customer-facing aspects of our platform, and the systems we use for our own operations. In the ordinary course of our business, we collect, store, and transmit large amounts of confidential information, including intellectual property, proprietary business information, and personal information (including PHI) of our affiliated professional entities, customers, channel partners, members, employees (including with respect to our self-insured ERISA plans), consultants, contractors, third-party payers, business partners, and others. We have also outsourced elements of our IT systems and infrastructure, and as a result, a number of third-party service providers and vendors have access to our confidential information, the confidential information of customers and channel partners, and/or sensitive or personal information of covered individuals and members. We cannot conduct audits or formal evaluations of all aspects of all of our third-party service providers’ and vendors’ IT systems, and even where we do conduct audits or evaluations, we cannot be sure that our audits or evaluations will be comprehensive or that third-party service providers and vendors have sufficient measures in place to ensure the confidentiality, integrity, and availability of their IT systems and confidential information.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face evolving cybersecurity risks that threaten the confidentiality, integrity, and availability of our IT systems and those of our affiliated professional entities, third-party service providers, vendors, business partners, and other contractors or consultants, and confidential information and data stored therein, including from diverse threat actors and attack vectors, including attack, damage, and interruption from computer viruses and malware (e.g., ransomware), natural disasters, terrorism, war, telecommunication, network, and electrical failures, hacking, cyberattacks, phishing attacks, and other social engineering schemes, malicious code, employee theft or misuse, human or technological error, fraud, denial or degradation of service attacks, sophisticated nation-state and nation-state-supported actors, or unauthorized access or use by persons inside our organization, or persons with access to systems inside our organization. These risks may be exacerbated in the remote work environment. Moreover, the risk of a cybersecurity incident,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Due to the recent Russia-Ukraine conflict, there have been publicized threats to increase hacking activity against the critical infrastructure of any nation or organization that is supportive of Ukraine. Cyberattacks are expected to continue to accelerate on a global basis in frequency and magnitude as threat actors are becoming increasingly sophisticated in using techniques and tools—including AI—that circumvent security controls, evade detection, and remove or obfuscate forensic evidence.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costs to us to investigate and mitigate information security incidents including bugs, viruses, worms, malicious software programs, inadvertent exposure of confidential information or security incidents arising from human or technological error, and other causes of security vulnerabilities could be significant, and while we have implemented certain cybersecurity measures designed to protect the confidentiality, integrity, and availability of confidential information and our IT systems, including from system failure, accident, and security breach, there can be no assurance that our cybersecurity risk management program and processes will be fully implemented, complied with, or effective. The techniques used to obtain unauthorized access to, or to sabotage, systems change frequently and often are not recognized until launched against a target, and we may be unable to anticipate these techniques or implement adequate preventative measures. Even if identified, we may be unable to adequately investigate or remediate incidents or breaches. We may also experience security breaches that may remain undetected for an extended period. Any security incident or other adverse impact to the availability, integrity, or confidentiality of our information systems or confidential information could result in unexpected interruptions, delays, disruption of our programs and our business operations, cessation of service, negative publicity and reputational impacts, significant financial liability to our members, customers, channel partners, regulators, or others, loss of customers or channel partners, loss of members, and other harm to our business and our competitive position, whether due to a loss of our trade secrets or other proprietary information or other disruptions.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and certain of our third-party service providers and vendors are from time to time subject to cyberattacks and security incidents. For example, Delta Dental of California and affiliates, a dental insurance carrier for employees enrolled in our self-insured ERISA plan, was impacted by a security incident in May 2023 resulting from a vulnerability in a third-party file transfer software, MOVEit, that compromised certain of our employees’ personal information, but did not materially impact our business or operations. Further, in February 2024, Change Healthcare, an insurance claims processing vendor, experienced a cyberattack forcing the shutdown of its claims processing systems and potentially exposing sensitive data (the “Change Healthcare Incident”). Based on information shared to date, we do not believe the Change Healthcare Incident has materially affected our business, operations, or data. We do, however, rely on similar service providers and clearinghouses to process eligibility for certain of our members and their claims. Any cybersecurity incident, outage, or interruption impacting the systems of such service providers and clearinghouses could result in delays in our ability to process insurance claims, collect payments, and confirm insurance eligibility for members and require us to turn to alternative channels for such services, which may not be available on commercially reasonable terms, or be able to be accessed or implemented in a timely manner. While we do not believe that we have experienced any significant system failure, accident, or security breach to date, if we, our affiliated professional entities, service providers, vendors, business partners, other contractors, or consultants were to experience a significant cybersecurity breach of our or their IT systems or data or other significant cybersecurity incident, the costs associated with the incident response, investigation, system restoration or remediation, notification to customers and channel partners, regulators, and others, and future compliance costs could be material. In addition, our remediation efforts, or those of our vendors or service providers, may not be successful. Any cybersecurity incident affecting us, our affiliated professional entities, service providers, vendors, business partners, other contractors, consultants, or our industry, whether real or perceived, could harm our reputation, erode confidence in the effectiveness of our security measures, and lead to regulatory scrutiny. We could incur or be exposed to potential liability, including class action and other litigation exposure. There can be no assurance that provisions typically included in our terms with members or in our agreements with our customers and channel partners that attempt to limit exposure to legal claims would be enforceable or adequate or would protect us from liabilities or damages. Even if a claim is not successful, any claim brought against us would likely be time-consuming and costly to defend and could seriously damage our reputation, brand, or business. Any cybersecurity incident affecting us could also, subject us to regulatory action, investigation, or enforcement action, any of which could potentially result in penalties, fines, and significant legal liability. In addition, our competitive position could be harmed, and the further development and commercialization of our programs could be delayed. Any or all of the foregoing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contractual and legal obligations to notify relevant stakeholders of certain cybersecurity incidents and data breaches. Most jurisdictions have enacted laws requiring companies to notify individuals, regulatory authorities, and others (including, in certain cases, the media) of cybersecurity incidents or data breaches involving certain types or quantities of data. For example, we are subject to an increasing number of reporting obligations in respect of material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contain and remediate the underlying issue. Efforts to comply with such reporting requirements could divert management’s attention from our incident response and could potentially reveal system vulnerabilities to threat actors. Failure to timely report incidents under these rules could also result in monetary fines, sanctions, or subject us to other forms of liability. Such mandatory disclosures are costly, could lead to negative publicity, may cause our customers, channel partners, or members to lose confidence in the effectiveness of our security measures, and require us to expend significant capital and other resources to respond to, or alleviate problems caused by, the actual or perceived cybersecurity incident or data breach and otherwise comply with the multitude of foreign, federal, state, and local laws and regulations relating to the unauthorized access to, or use or disclosure of, personal information (including PHI). Because we utilize third-party vendors and service providers, such as AWS and other cloud services that support our member-facing mobile and web-based applications, customer-facing aspects of our platform, and our own internal operations, successful cyberattacks that disrupt or result in unauthorized access to third-party IT systems can materially impact our operations and financial results. Such third parties, and the services they provide, which may be outside of our direct control, are subject to the same risk of experiencing, and have experienced, outages, other failures, and security breaches described above. Further, if we or our third-party vendors or service providers fail to detect or remediate in a timely manner a cybersecurity incident or an incident that otherwise affects a large amount of data of one or more customers or channel partners, or if we suffer an incident that impacts our ability to operate our programs, we may suffer damage to our reputation and our brand, and our business, financial condition, results of operations, and prospects may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although we maintain insurance coverage, our insurance coverage may not cover all or any costs and liabilities incurred in relation to a cybersecurity incident or data breach, including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the number of customers, channel partners, and members that we serve, and process, store, and transmit increasingly large amounts of proprietary, sensitive and other confidential information.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proprietary technology may not operate properly, which could damage our reputation, give rise to claims against us, or divert application of our resources from other purposes, any of which could materially and adversely harm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Proprietary software development is time-consuming, expensive, and complex, and may involve unforeseen difficulties. Technical obstacles, problems, or design defects may prevent our proprietary technology from operating properly. If our platform or programs do not function reliably, malfunction, or fail to achieve the expectations of our customers, channel partners, or members in terms of performance, our customers, channel partners, members, or other business partners could assert liability claims against us, our customers, channel partners, and other business partners could attempt to cancel their contracts with us, or our members could disenroll from our programs. There can be no assurance that provisions typically included in our agreements with customers, channel partners, or other business partners or in our user agreements with members that attempt to limit our exposure to claims would be enforceable or adequate or would otherwise protect us from liabilities or damages with respect to any particular claim. Even if unsuccessful, a claim brought against us by any of our customers, channel partners, members, or other business partners would likely be time-consuming and costly to defend and could seriously damage our reputation and brand and impair our ability to attract or maintain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software underlying our platform is highly complex and may contain undetected errors or vulnerabilities, some of which may only be discovered after the code has been used by our members or other third parties. Any real or perceived errors, failures, bugs, malicious code, or other vulnerabilities discovered in our code or in open source or commercial software that may be integrated into our (or our vendors’ and service providers’) software could result in negative publicity and damage to our reputation, loss of customers and channel partners, loss of members, loss of, or delay in, market acceptance of our programs, loss of competitive position, loss of revenue, or liability for member harm, damages, overpayments, and/or underpayments, any of which could harm our member enrollment rates or cause us to lose members. Similarly, any real or perceived errors, failures, design flaws, or defects in the connected devices or other supplies provided in connection with our programs could have similar negative results. In such an event, we may be required or may choose to divert resources from other purposes or expend additional resources in order to help correct the problem. Such efforts could be costly, or ultimately unsuccessful. Even if we are successful at remediating any issues, we may experience damage to our reputation and brand, and our business, financial condition, results of operations, and prospects could be materially and adversely harmed.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business depends upon the interoperability of our programs and related connected devices across a number of devices, operating systems, and third-party applications that we do not control.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platform relies in part on interoperability with a range of diverse devices, operating systems, and third-party applications. We are dependent on the accessibility of our programs and related connected devices across these third-party operating systems and applications that we do not control. Third-party services and products are constantly evolving, and we may not be able to modify our platform to assure its compatibility with that of other third parties following development changes. Should the interoperability of our platform, programs, and related connected devices across devices, operating systems, and third-party applications decrease, or if our members are unable to easily and seamlessly access our applications or information stored in our platform, our business, financial condition, results of operations, and prospects could be materially and adversely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business depends on continued and unimpeded access to Internet or mobile connections for our programs and the related connected devices. If we or our members experience disruptions in service or if Internet or mobile service providers are able to block, degrade, or charge for access to our programs or the functionality of connected devices provided in connection with our programs, we could incur additional expenses and the loss of members.</w:t>
      </w:r>
    </w:p>
    <w:p>
      <w:pPr>
        <w:pStyle w:val="TextBody"/>
        <w:bidi w:val="0"/>
        <w:spacing w:lineRule="auto" w:line="288" w:before="0" w:after="240"/>
        <w:ind w:left="0" w:right="0" w:firstLine="450"/>
        <w:jc w:val="both"/>
        <w:rPr/>
      </w:pPr>
      <w:r>
        <w:rPr>
          <w:rFonts w:ascii="Times New Roman;serif" w:hAnsi="Times New Roman;serif"/>
          <w:b w:val="false"/>
          <w:color w:val="000000"/>
          <w:sz w:val="20"/>
        </w:rPr>
        <w:t>We depend on the ability of our members to access the Internet and/or mobile connections. Currently, this access is provided by companies that have significant market power in the mobile, broadband, and Internet access marketplace, including incumbent telephone companies, cable companies, mobile communications companies, government-owned service providers, device manufacturers, and operating system providers, any of whom could take actions that restrict, degrade, disrupt, or increase the cost of member access to our programs and the functionality of connected devices that we provide in connection with our programs, which would, in turn, negatively impact our business. The adoption of any laws or regulations that adversely affect the growth, popularity, or use of the Internet or mobile connections, including laws or practices limiting Internet neutrality, could decrease the demand for, or the usage of, our programs, increase our cost of doing business, and adversely affect our results of operations. See “</w:t>
      </w:r>
      <w:r>
        <w:rPr>
          <w:color w:val="000000"/>
        </w:rPr>
        <w:t>—</w:t>
      </w:r>
      <w:r>
        <w:rPr>
          <w:rFonts w:ascii="Times New Roman;serif" w:hAnsi="Times New Roman;serif"/>
          <w:b w:val="false"/>
          <w:i/>
          <w:color w:val="000000"/>
          <w:sz w:val="20"/>
        </w:rPr>
        <w:t>Changes in the regulation of the Internet could adversely affect our business</w:t>
      </w:r>
      <w:r>
        <w:rPr>
          <w:rFonts w:ascii="Times New Roman;serif" w:hAnsi="Times New Roman;serif"/>
          <w:b w:val="false"/>
          <w:color w:val="000000"/>
          <w:sz w:val="20"/>
        </w:rPr>
        <w:t>.” We also rely on other companies to maintain reliable network systems that provide adequate speed, data capacity, and security to us and our members. As Internet and mobile device usage continue to experience growth in the number of users, frequency of use, and amount of data transmitted, the infrastructure that we and our members rely on may be unable to support the demands placed upon it. The failure of the infrastructure that we or our members rely on, even for a short period of time, could undermine our operations and harm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success depends in part on our proprietary technology, and if we are unable to obtain, maintain, or successfully enforce our intellectual property rights, the commercial value of our programs will be adversely affected, and our competitive position,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success and ability to compete may depend in part on our ability to maintain and enforce existing intellectual property rights and to obtain, maintain, and enforce further intellectual property protection for our programs, both in the U.S. and in other countries. We attempt to protect our intellectual property rights through a combination of patent, trademark, copyright, and trade secret laws, as well as licensing agreements and confidentiality agreements and procedures and contractual protections with our employees, affiliates, customers, channel partners, and other business partners. Our inability to obtain, maintain, protect, or enforce our intellectual property rights could result in our competitors offering similar products, which could harm our competitive position.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rely in limited part on our portfolio of issued patents and pending patent applications in the U.S. to protect our intellectual property and our competitive position. However, the patent positions of technology and virtual care companies, including our patent position, may involve complex legal and factual questions, and, therefore, the scope, validity, and enforceability of any patent claims that we may obtain cannot be predicted with certainty. Accordingly, we cannot provide any assurances that any of our issued patents have included, or that any of our currently pending or future patent applications that mature into issued patents will include, claims with a scope that meaningfully protects our programs. Our pending and future patent applications may not result in the issuance of patents or, if issued, may not issue in a form that will be advantageous to us. Additionally, the issuance of a patent is not conclusive as to its inventorship, scope, validity, or enforceability, and any patents issued to us may be challenged, narrowed, invalidated, held unenforceable, or circumvented, or may not be sufficiently broad to prevent third parties from producing competing programs similar in design to our programs. Such proceedings could include supplemental examination or contested post-grant proceedings such as review, reexamination, interference, or derivation proceedings challenging our patent rights. Further, patent protection must ultimately be sought on a country-by-country basis, which is an expensive and time-consuming process with uncertain outcomes and we have not sought patent protection outside of the U.S. We may fail to file a patent application in a foreign jurisdiction where patent protection is ultimately desirable, and we may be precluded from doing so at a later date. For so long as we do not have patent protection outside of the U.S., our ability to protect uses of our technology by competitors in foreign jurisdictions may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either patent laws or in interpretations of patent laws may diminish the value of our current or future intellectual property or narrow the scope of our patent protection, which in turn could diminish the commercial value of our programs. There can be no assurance that any of our patents, any patents licensed to us, or any patents which we may be issued in the future will provide us with a competitive advantage or afford us protection against infringement by others, or that the patents will not be successfully challenged or circumvented by third parties, including our competitors. Further, there can be no assurance that we will have adequate resources to enforce our patents. Any of the foregoing could have a material adverse effect on our competitive position,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we also have agreements with our employees, consultants, and other third parties who may be involved in the conception or development of intellectual property that impose confidentiality obligations on them and obligate them to assign their inventions to us; however, these agreements may not be self-executing, not all relevant employees, consultants, or other third parties may enter into such agreements, or employees, consultants, or other third parties may breach or violate the terms of these agreements, and we may not have adequate remedies for any such breach or violation. Furthermore, individuals executing agreements with us may have preexisting or competing obligations to third parties, and thus an agreement with us may be ineffective in perfecting ownership of intellectual property developed by those individuals. Any of the foregoing could have a material adverse effect on our competitive position,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contractual measures, we protect the confidential nature of our proprietary information using commonly accepted physical and technological security measures. Such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any recourse we take against such misconduct may not provide an adequate remedy to protect our interests fully. Monitoring unauthorized uses and disclosures is difficult, and we do not know whether the steps we have taken to protect our intellectual property or confidential or proprietary information, such as our trade secrets, will be effective. Unauthorized parties may also attempt to copy or reverse engineer certain aspects of our programs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otherwise become known or be independently developed by others, including our competitors, in a manner that could prevent legal recourse by us. Further, the laws of some foreign countries do not protect intellectual property rights to the same extent as the laws of the U.S. Many companies have encountered significant problems in protecting and defending intellectual property rights in certain foreign jurisdictions, particularly with respect to trade secret rights. This could make it difficult for us to stop infringement or the misappropriation of our other intellectual property rights.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our trademarks and trade names are not adequately protected, we may not be able to build name recognition in our markets of interest and our competitive position,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our trademarks, trade names, and brand names to distinguish our programs from the programs of our competitors and have registered or applied to register many of these trademarks. There can be no assurance that our trademark applications will be approved. Third parties may also oppose our trademark applications or otherwise challenge our use of the trademarks, and our trademarks may be circumvented or declared generic. In the event that our trademarks are successfully challenged, we could be forced to rebrand our programs, which could result in loss of brand recognition and could require us to devote resources to advertising and marketing new brands. Further, there can be no assurance that competitors will not infringe our trademarks or that we will have adequate resources to enforce our trademarks. Additionally, we entered into a co-existence agreement with a third party with respect to trademarks with the word “Omada” that, among other things, places certain restrictions on both the third party’s and our ability to register, and to challenge the third party’s registration of, trademarks with the word “Omada” in certain product and service classes, in order to mitigate any risk of confusion. Any disputes concerning this co-existence agreement may cause us to incur significant litigation costs, which could have a material adverse effect on our competitive position, business, financial condition, results of operations, and prospects. In addition, third parties may file for registration of trademarks similar or identical to our trademarks, thereby impeding our ability to build brand identity and possibly leading to market confusion. Moreover, third parties may file first for our trademarks in certain countries. If they succeed in registering or developing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common law rights in such trademarks, and if we are not successful in challenging such third-party rights, we may not be able to use these trademarks to develop brand recognition in those jurisdictions.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license third parties to use our trademarks. In an effort to preserve our trademark rights, we include license terms in our agreements with these third parties, which govern the use of our trademarks and require our licensees to abide by certain use restrictions. Although we make efforts to monitor the use of our trademarks by our licensees, there can be no assurance that these efforts will be sufficient to ensure that our licensees abide by the terms of their licenses. In the event that our licensees fail to do so, our trademark rights could be diluted. Any of the foregoing could have a material adverse effect on our competitive position,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become involved in lawsuits to protect or enforce our intellectual property rights, which could be expensive, time consuming, and unsuccessful.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Third parties, including our competitors, could be infringing, misappropriating, or otherwise violating our intellectual property rights. We do not regularly conduct monitoring for unauthorized use of our intellectual property at this time. From time to time, we seek to analyze our competitors’ programs or seek to enforce our rights against potential infringement, misappropriation, or violation of our intellectual property rights. However, the steps we take to protect our intellectual property rights may not be adequate to enforce our rights against such infringement, misappropriation, or violation. We may not be able to detect unauthorized use of, or take appropriate steps to enforce, our intellectual property rights. Any inability to meaningfully enforce our intellectual property rights could harm our ability to compete and reduce demand for our programs.</w:t>
      </w:r>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From time to time, we may be involved in lawsuits to protect or enforce our intellectual property rights. An adverse result in any litigation proceeding could harm our business. In any lawsuit that we bring to enforce our intellectual property rights, a court may refuse to stop the other party from using the technology at issue on grounds that our intellectual property rights do not cover the technology in question. If we initiate legal proceedings against a third party to enforce a patent covering a program, the defendant could counterclaim that such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 Patent and Trademark Office or made a misleading statement during prosecution. Third parties also may raise similar claims before administrative bodies in the U.S. or abroad, even outside the context of litigation. Mechanisms for such challenges include re-examination, post-grant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interference proceedings, derivation proceedings, and equivalent proceedings in foreign jurisdictions (e.g., opposition proceedings). Such proceedings could result in the revocation of, cancellation of, or amendment to our patents in such a way that they no longer cover our programs, or any future programs that we may develop.</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programs. Such a loss of patent protection could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infringe, misappropriate, or otherwise violate the intellectual property rights of third parties or are subject to an intellectual property infringement or misappropriation claim, our ability to grow our business may be severely limited, and our business could be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the subject of threatened or actual patent or other litigation. Patent and other types of intellectual property litigation can involve complex factual and legal questions, and their outcome is uncertain. We cannot be certain or guarantee that we do not infringe existing patents or that we will not infringe patents that may be granted in the future. Our programs may infringe, or third parties may claim that they infringe, intellectual property rights covered by patents or patent applications under which we do not hold licenses or other rights. Third parties may own or control these patents and patent applications in the U.S. and abroad. These third parties may bring claims against us that would cause us to incur substantial expenses and, if successfully asserted against us, could cause us to pay substantial damages. Further, if a patent infringement or other intellectual property-related lawsuit is brought against us, we could be forced to stop or delay sales of the program that is the subject of the suit. From time to time, we may receive letters from third parties drawing our attention to their patent rights. As the market for digital health solutions in the U.S. expands and more patents are issued, the risk increases that there may be patents issued to third parties that relate to our products and technology of which we are not aware or that we must challenge to continue our operations as currently contemplated. The defense and prosecution of intellectual property lawsuits could result in substantial expense to us and significant diversion of effort by our technical and management personnel. An adverse determination of any litigation or interference proceeding to which we may become a party could subject us to significant liabilities such as monetary damages, including treble damages and attorneys’ fees if we are found to have willfully infringed a patent or other intellectual property right. Further, we may be required to redesign the applicable technology in a non-infringing manner, which may not be commercially feasible. As a result of patent infringement claims, or in order to avoid potential claims, we may choose or be required to seek a license from the third party and be required to pay significant license fees, royalties or both. Licenses may not be available on commercially reasonable terms, or at all, in which event our business would be materially and adversely affected. Even if we were able to obtain a license, the rights may be nonexclusive, which could result in our competitors gaining access to the same intellectual property. Ultimately, if we are unable to obtain such licenses, we could be forced to cease some aspect of our business operations, which could harm our business significantly.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fail to comply with our obligations under license or technology agreements with third parties, we may be required to pay damages, and we could lose license rights that are critical to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license certain intellectual property, including technologies, content, and software from third parties, that is important to our business, and in the future we may enter into additional agreements that provide us with licenses to valuable intellectual property, content, or technology. For example, certain of our customers and channel partners also provide us with limited rights to use their trademarks and trade names in conducting outreach campaigns directed at covered individuals. Disputes also may arise between us and our licensors regarding the intellectual property licensed to us under any license agreement, including disputes related to: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scope of rights granted under the license agreement and other interpretation-related issues;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compliance with reporting, financial, or other obligations under the license agreement;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amounts of royalties or other payments due under the license agreement;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whether and the extent to which we infringe, misappropriate, or otherwise violate intellectual property rights of the licensor that are not subject to the license agreement;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right to sublicense applicable rights to third parties;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right to transfer or assign the license;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ownership of intellectual property and know-how resulting from the joint creation or use of intellectual property by our licensors and us and our partners.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we do not prevail in such disputes or if we fail to comply with any of the obligations under our license agreements, we may lose any or all of our rights under such license agreements or be required to pay damages, and the licensor may have the right to terminate the license. Termination by the licensor of certain of our license agreements would cause us to lose valuable rights, and could prevent us from selling our programs and services or adversely impact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commercialize future programs and services. Our business may suffer if any current or future licenses terminate, if the licensors fail to abide by the terms of the license, if the licensors fail to enforce licensed patents against infringing third parties, if the licensed intellectual property is found to be invalid or unenforceable, or if we are unable to enter into necessary licenses on acceptable terms. In addition, our rights to certain technologies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software platform contains, and may in the future contain, open source software, which may pose particular risks to our proprietary software, products, and services in a manner that could have a material and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open source software in connection with our software platform and anticipate using open source software in the future. The terms of certain open source licenses to which we are subject have not been interpreted by U.S. or foreign courts, and there is a risk that open source software licenses could be construed in a manner that imposes unanticipated conditions or restrictions on our platform, including requiring us to disclose our proprietary source code to the public. While we monitor our use of open source software and try to ensure that none is used in a manner that would require us to disclose our proprietary source code or that would otherwise breach the terms of an open source agreement, such a use could inadvertently occur, or could be claimed to have occurred, in part because open source license terms can be ambiguous. Additionally, we could face claims from third parties claiming ownership of, or demanding the release of, any open source software or derivative works that we have developed using such software, which could include proprietary source code, or otherwise seeking to enforce the terms of the applicable open source license. These claims could result in litigation and could require us to make our software source code freely available, purchase a costly license, or cease offering our platform unless and until we can re-engineer such source code in a manner that avoids infringement.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support, warranties, indemnification, or other contractual protection regarding infringement claims or the quality of the code. There is little legal precedent in this area, and any actual or claimed requirement to disclose our proprietary source code or pay damages for breach of contract could harm our business and could help third parties, including our competitors, develop technology that is similar to or superior to ours. Any of the foregoing could harm our competitive position, business, financial condition, results of operations, and prospects.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Relating to Governmental Regulation and Legal Matters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operate in a highly regulated industry and changes in regulations or the implementation of existing regulations could affect our operations.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programs and our business activities are subject to rigorous regulation in the jurisdictions in which we operate. In particular, these laws govern the delivery of healthcare, including regulations concerning health information privacy, scope of practice, licensure, the corporate practice of physical therapy, fraud and abuse, exclusion and debarment, anti-kickback obligations, false claims, patient referrals, fee splitting, regulation of devices, and other aspects of healthcare delivery, as well as requirements for coverage and reimbursement by private health insurance providers and government payers. Our business may be affected by changes in any such laws and regulations, as well as by changes to the conditions for coverage and member financial responsibility for certain types of healthcare, the way in which reimbursement is calculated, or the ability to obtain coverage. There are also numerous regulatory schemes, including with respect to certain data interoperability and information blocking requirements, that do not currently apply to our business; however, we could become subject to such regulatory schemes in the future as a result of regulatory changes.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regulations that cover, or that in the future could cover, our programs and our business can be burdensome and subject to change on short notice, exposing us to the risk of increased costs and business disruption, and regulatory requirements may affect or delay our ability to market our new programs. Regulatory authorities and legislators have been recently increasing their scrutiny of the healthcare industry, and there are ongoing regulatory efforts to reduce healthcare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costs that may intensify in the future. For example, the U.S. Congress recently considered legislative reforms to PBM fee structures, and the Trump Administration has signaled its intent to pursue drug pricing reform. New laws or regulations that negatively impact health plans, PBMs, or other customers or channel partners could materially and adversely affect our business, financial condition, results of operations, and prospects. Our business is also sensitive to any changes in tort and product liability laws.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use and disclosure of personal information, including health information, is subject to federal and state privacy and security laws and regulations, and our or our affiliated professional entities’ actual or perceived failure to comply with such laws and regulations or to adequately secure the personal information we hold could result in significant liability or reputational harm and, in turn,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global data protection landscape is rapidly evolving, and there has been an increasing focus on data privacy and protection issues with the potential to affect our business. We, our affiliated professional entities, and our business partners and service providers are, or may become, subject to numerous federal, state, and foreign laws, requirements, and regulations governing the collection, transmission, use, processing, disclosure, storage, retention, security, and other processing of personal information, such as information that we may collect in connection with conducting our business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including costs related to organizational changes, modifying our data processing practices and policies, implementing additional protection technologies, training employees, and engaging consultants, is high and is likely to increase in the future. Any failure or perceived failure by us, our affiliated professional entities, or our business partners or service providers to comply with federal, state, or foreign laws or regulations, our internal policies and procedures, or our contracts governing our processing of personal information could result in negative publicity, government investigations and enforcement actions, fines, public censure, claims by third parties, damage to our reputation, loss of goodwill, and loss of customers, channel partners, or members, any of which could have a material adverse effect on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and our affiliated professional entities collect and store confidential information, including PHI, personal information, intellectual property, and proprietary business information owned or controlled by ourselves or our customers, channel partners, members, covered individuals, third-party payers, business partners, and other parties. We also collect and store personal and sensitive information of our employees, consultants, and contractors. We manage and maintain our applications and data utilizing cloud-based data centers for personal information. We utilize external security and infrastructure vendors to manage parts of our data centers. As a healthcare provider and, at times, a business associate of our customers and channel partners, we, our affiliated professional entities, and certain of our business partners and service providers must comply with HIPAA. We also must comply with HIPAA in regard to certain of our self-insured health benefits for our employees and their dependents. HIPAA establishes privacy and security standards that limit the use and disclosure of PHI and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We, our affiliated professional entities, and certain of our business partners and service providers must comply with HIPAA requirements, including the implementation of administrative, physical, and technical safeguards to ensure the confidentiality, integrity, and availability of individually identifiable health information.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Entities that are found to be in violation of HIPAA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HIPAA imposes mandatory penalties for certain violations; however, a single breach incident can result in violations of multiple standards, which could result in significant fines. HIPAA also authorizes state attorneys general to file suit on behalf of their residents and enables courts to award damages, costs, and attorneys’ fees related to violations of HIPAA in connection with those suits.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Any such penalties or lawsuits could harm our business, financial condition, results of operations, prospects, and reputation.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HIPAA further requires that individuals be notified in certain instances of unauthorized acquisition, access, use, or disclosure of their unsecured PHI. Covered entities must report breaches of unsecured PHI to affected individuals without unreasonable delay, not to exceed 60 days following discovery of the breach by a covered entity or its agents. Notification also must be made to the HHS Office for Civil Rights and, in certain circumstances involving large breaches, to the media. Business associates must report breaches of unsecured PHI to covered entities within 60 days of discovery of the breach by the business associate or its agents or such shorter period as may be provided for in contractual agreements. A non-permitted use or disclosure of PHI is presumed to be a breach under HIPAA unless the covered entity or business associate establishes that there is a low probability the information has been compromised consistent with requirements enumerated in HIPAA. Any obligations to send such notifications could severely damage our reputation and affect the confidence of our customers, channel partners, and members.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our affiliated professional entities, and our future customers, channel partners, and strategic partners.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enacted in other states and are continuing to be proposed at the state and federal level, including a new proposed comprehensive federal data protection law to which we would become subject to, reflecting a trend toward more stringent privacy legislation in the U.S. The enactment of such laws may have potentially conflicting requirements that would make compliance challenging.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Furthermore, the U.S. Federal Trade Commission (“FTC”) and many state attorneys general continue to enforce federal and state consumer protection laws against companies that mislead customers about HIPAA compliance, make deceptive statements about privacy and data sharing in privacy policies, fail to limit third-party use of PHI and certain other personal information, fail to implement policies to protect PHI and certain other personal information, and use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 attorneys general to regulate the collection, use, storage, and disclosure of personal information, through websites or otherwise, and to regulate the presentation of website content. There are also a number of legislative proposals in the U.S., at both the federal and state level, that could impose new obligations in areas such as e-commerce and other related legislation or liability for copyright infringement by third parties. We cannot yet determine the impact that these future laws, regulations, and standards may have on our business.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we send short message services (“SMS”) text messages to members and potential members. Federal or state regulatory authorities or private litigants may claim that the notices and disclosure we provide, form of consent we obtain, or our SMS texting practices are not adequate or violate applicable law. In addition, we must ensure that our SMS texting practices comply with regulations and agency guidance under the Telephone Consumer Protection Act (the “TCPA”), a federal statute that protects consumers from unwanted telephone calls, faxes, and text messages. While we strive to adhere to strict policies and procedures that comply with the TCPA, the Federal Communications Commission (“FCC”), as the agency that implements and enforces the TCPA, may disagree with our interpretation of the TCPA and subject us to penalties and other consequences for noncompliance. Determination by a court or regulatory agency that our SMS texting practices violate the TCPA could subject us to civil penalties and could require us to change some portions of our business. Even an unsuccessful challenge by members or regulatory authorities of our activities could result in adverse publicity and could require a costly response from and defense by us. Moreover, if wireless carriers or their trade associations, which issue guidelines for texting programs, determine that have violated their guidelines, our ability to engage in texting programs may be curtailed or revoked, which could impact our operations and cause us to incur costs related to implementing a workaround solution.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Although we, our affiliated professional entities, and our business partners and service providers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our affiliated professional entities, or our employees, representatives, contractors, consultants, business partners, service providers, or other third parties to comply with such requirements or adequately address privacy and security concerns, even if unfounded, could result in additional cost and liability to us, damage to our reputation, negative publicity, members curtailing their use of, or ceasing to use, our programs and/or the loss of customers, channel partners, or covered individuals, loss of goodwill, significant costs for remediation, notification to individuals, and for measures to prevent future non-compliance, each which may materially and adversely affect our business, financial condition, results of operations, and prospects. Any losses, costs, or liabilities may not be covered by, or may exceed the coverage limits of, applicable insurance policies.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or our affiliated professional entities fail to comply with federal and state healthcare regulatory laws, we could be subject to penalties, including, but not limited to, administrative, civil and criminal penalties, damages, fines, disgorgement, exclusion from participation in governmental healthcare programs, and the curtailment of our operations, any of which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and our affiliated professional entities and certain of our third-party suppliers and service providers are subject to broadly applicable fraud and abuse and other healthcare laws and regulations. These laws may constrain the business or financial arrangements and relationships through which we, our affiliated professional entities, and certain of our third-party suppliers and service providers conduct our operations, including sales and marketing practices directed at potential customers and channel partners, benefit outreach practices directed at covered individuals, consumer incentives, and other promotional programs, and other business practices. Such laws include, without limitation: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Anti-Kickback Statute, which prohibits, among other things, persons or entities from knowingly and willfully soliciting, offering, receiving, or providing any remuneration,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state Medicaid programs, and TRICARE. A person or entity does not need to have actual knowledge of the statute or specific intent to violate it in order to have committed a violation;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physician self-referral law, the Stark Law, which, subject to limited exceptions, prohibits physicians from referring Medicare or Medicaid patients to an entity for the provision of certain DHSs, if the physician or a member of such physician’s immediate family has a direct or indirect financial relationship (including an ownership interest or a compensation arrangement) with the entity, and prohibits the entity from billing Medicare or Medicaid for such DHS;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false claims laws, including the False Claims Act, which can be enforced through whistleblower actions, which, among other things, impose criminal and civil penalties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federal Anti-Kickback Statute or Stark Law constitutes a false or fraudulent claim for purposes of the False Claims Act;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Civil Monetary Penalties Law, which prohibits, among other things, an individual or entity from offering remuneration to a federal healthcare program beneficiary that the individual or entity knows or should know is likely to influence the beneficiary to order or receive healthcare items or services from a particular provider;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delivery of, or payment for, healthcare benefits, items, or services. Similar to the U.S. federal Anti-Kickback Statute, a person or entity does not need to have actual knowledge of the statute or specific intent to violate it in order to have committed a violation;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provision of the federal Social Security Act that imposes criminal penalties on healthcare providers who fail to disclose or refund known overpayments;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state law equivalents of each of the above federal laws, including state anti-kickback, self-referral, and false claims laws that apply more broadly to healthcare items or services paid by all payers, including self-pay patients and private insurers, that govern our interactions with consumers or restrict payments that may be made to healthcare providers and other potential referral sources;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Federal Trade Commission Act and federal and state consumer protection, advertisement, and unfair competition laws, which broadly regulate marketplace activities and activities that potentially harm consumers;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FCPA,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requirements pertaining to compliance program obligations and record retention, among others, applicable to our business as a first-tier or downstream entity providing certain services to Medicare Advantage organizations, Medicaid managed care plans, or other entities that administer government healthcare programs;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requirements applicable to our business at times in providing services to fulfill government contracts (typically as a subcontractor). In providing those services, we are required to comply with applicable government contract requirements such as the U.S. Federal Acquisition Regulation (the “FAR”) and agency regulations supplementing the FAR. Our failure to comply with these laws and regulations may expose us to reputational harm, criminal prosecution, suspension and debarment, breach of contract actions, and the False Claims Act, as well as other remedial measures.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financial arrangements with customers, channel partners and third-party suppliers and service providers, any lead generation agreements for acquiring customers or channel partners, and any outreach initiatives directed at covered individuals, do not comply with current or future statutes, regulations, agency guidance, or case law involving applicable fraud and abuse or other healthcare laws and regulations. If our operations or those of or our affiliated professional entities, third-party suppliers, or service providers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including Medicare, state Medicaid programs, TRICARE, or similar programs in other countries or jurisdictions, disgorgement, imprisonment, contractual damages, reputational harm, diminished profits, and the curtailment or restructuring of our operations. We or our affiliated professional entities may also be contractually required to indemnify and hold harmless third parties, such as customers or channel partners, from the costs of any failure to comply with applicable law. Further, defending against any such actions can be costly and time-consuming and may require significant personnel resources. Even if we are successful in defending against any such actions that may be brought against us, our business may be impaired.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U.S. Food and Drug Administration (the “FDA”) may modify its enforcement policies with respect to medical software products, and our software applications may become subject to extensive regulatory requirements, which may increase the cost of conducting, or otherwise harm,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develop and offer certain software applications, some of which involve the use of AI technologies, to our members and coaches. The FDA may regulate medical or health-related software, including machine learning functionality and predictive algorithms, if such software falls within the definition of a “medical device” under the FDCA. Medical devices are subject to extensive and rigorous regulation by the FDA and by other federal, state, and local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FDCA and related regulations govern the conditions of safety, efficacy, clearance, approval, manufacturing, quality system requirements, labeling, packaging, distribution, storage, recordkeeping, reporting, marketing, advertising, and promotion of medical devices. However, historically, the FDA has exercised enforcement discretion for certain low-risk software functions and has issued several guidance documents outlining its approach to the regulation of software as a medical device. In addition, the 21st Century Cures Act amended the FDCA to exclude from the definition of “medical device” certain medical-related software, including software used for administrative support functions at a healthcare facility, software intended for maintaining or encouraging a healthy lifestyle, software designed to store electronic health records, software for transferring, storing, or displaying medical device data or in vitro diagnostic data, and certain clinical decision support software. We believe our current software applications for our Care Teams generally provide clinical decision support functionality that is exempt from the FDCA’s definition of a “medical device.” Our current software applications and AI technologies only deliver recommendations directly to members in a manner intended for maintaining or encouraging a healthy lifestyle, and we believe that this functionality is also exempt from the FDCA’s definition of a “medical device.” Therefore, we believe that our software applications are not currently regulated by the FDA as medical devices or otherwise subject to FDA’s current enforcement discretion policies applicable to software. However, there is a risk that the FDA could disagree with our determination if, for example, it is perceived that we are providing, or if we unintentionally provide, automated diagnoses or automated delivery of healthcare to our members. Additionally, the FDA could alter its enforcement discretion policies or our strategy for the use of AI and software could change. Any of the above may subject our software applications to more stringent medical device regulations.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the FDA determines that any of our current or future software applications are regulated as medical devices and not otherwise subject to enforcement discretion, we would become subject to various requirements under the FDCA and the FDA’s implementing regulations. If this occurs, we may be required to cease marketing or to recall our applications until we obtain the requisite clearances or approvals, which would entail significant cost and could harm our reputation, business, financial condition, results of operations, and prospects. The process of seeking clearance or approval can be expensive and time-consuming, and there is no guarantee that we would be successful in obtaining the necessary approvals.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failure to comply with applicable regulatory requirements could result in enforcement action by the FDA, or comparable state or foreign regulatory authorities, including: untitled letters, warning letters, fines, injunctions, consent decrees and civil penalties, recalls, termination of distribution, administrative detentions, seizure of our products, operating restrictions, partial suspension or total shutdown of production, delays in or refusal to grant clearances or approvals, prohibitions on sales of our products, and criminal prosecution. Any of these sanctions could result in higher than anticipated costs or lower than anticipated sales and have a material adverse effect on our reputation,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dependent on our relationships with affiliated professional entities, which we do not own, to provide physical therapy and certain medical services, and our business would be adversely affected if those relationships were disrupted or if our arrangements with such affiliated professional entities or our customers or channel partners are found to violate state laws prohibiting the corporate practice of licensed professions or fee splitting.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laws of many states, including states in which many of our customers and channel partners are located, prohibit us from exercising control over the medical judgments or decisions of physical therapists and certain medical professionals and from engaging in certain financial arrangements, such as splitting professional fees with such licensed professionals. These laws and their interpretations vary from state to state and are enforced by state courts and regulatory authorities, each with broad discretion, and are subject to change and to evolving interpretations by state boards of physical therapy and state attorneys general, among others. We enter into agreements with a professional corporation, PPTG, and other professional practices, which enter into contracts with licensed providers pursuant to which they render professional services. Our agreements include management services agreements with those professional practices pursuant to which the professional entity reserves exclusive control and responsibility for all aspects of the practice of physical therapy and the delivery of medical services. In addition, we enter into contracts with our customers and channel partners on behalf of these professional practices to deliver professional services in exchange for fees. In connection with the launch of our new prescribing offering, we anticipate contracting with third-party telehealth providers and potentially entering into new agreements with affiliated professional entities. Changes in, or subsequent interpretations of, the corporate practice of physical therapy or medicine, or fee-splitting prohibitions could circumscribe our business operations, and state officials who administer these laws or other third parties may successfully challenge our existing organization and contractual arrangements. If such a claim were successful, we could be subject to civil and criminal penalties and could be required to restructure or terminate the applicable contractual arrangements. A determination that these arrangements violate state statutes, or our inability to successfully restructure our relationships with PPTG and other professional entities to comply with these statutes, could eliminate customers and channel partners located in certain states from the market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programs, which would have a material adverse effect on our business, financial condition, results of operations, and prospects. State corporate practice of physical therapy and medicine doctrines also often impose penalties on the licensed professionals themselves for aiding the corporate practice of such learned profession, which could discourage providers from providing services needed for our programs. We do not own our affiliated professional entities, which are wholly owned by licensed healthcare professionals. While we expect that this relationship will continue, we cannot guarantee that it will. A material change in our relationship with PPTG or other affiliated professional entities, whether resulting from a dispute among the entities, a change in government regulation, or the loss of these affiliations, could impair our ability to provide services to our members and could have a material adverse effect on our business, financial condition, results of operations, and prospects. In addition, the arrangement in which we have entered to comply with state corporate practice of physical therapy and medicine doctrines could subject us to additional scrutiny by federal and state regulatory bodies regarding federal and state fraud, waste, and abuse laws. Any scrutiny, investigation, or litigation with regard to our arrangement with PPTG or other affiliated professional entities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our affiliated professional entities, and our other business partners may become subject to medical liability claims, which could cause us to incur significant expenses and may require us to pay significant damages if not covered by insurance.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business entails the risk of medical liability claims against both us, our affiliated professional entities, and our other business partners. Successful medical liability claims could result in substantial damage awards that exceed the limits of any insurance coverage. In addition, professional liability insurance is expensive and insurance premiums may increase significantly in the future, particularly as we expand our services. As a result, adequate professional liability insurance may not be available to us, our affiliated professional entities, or our other business partners at acceptable costs or at all.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claims made against us may adversely affect our business or reputation, and any claims that are not fully covered by insurance could be costly to defend against, result in substantial damage awards against us, and divert the attention of our management and our partners from our operations, which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subject to risks from legal and arbitration proceedings that may prevent us from pursuing our business activities or require us to incur additional costs in defending against claims or paying damages.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become subject to legal disputes and regulatory proceedings in connection with our business activities involving, among other things, product liability, product defects, intellectual property infringement, employment matters, and/or alleged violations of other applicable laws in various jurisdictions. We may not be insured against all potential damages that may arise out of any claims to which we may be party in the ordinary course of our business. A negative outcome of these proceedings may prevent us from pursuing certain activities and/or require us to incur additional costs in order to do so and pay damages.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outcome of pending or potential future legal and arbitration proceedings is difficult to predict with certainty. In the event of a negative outcome of any material legal or arbitration proceeding, whether based on a judgment or a settlement agreement, we could be obligated to make substantial payments, which could have a material adverse effect on our business, financial condition, results of operations, and prospects. In addition, the costs related to litigation and arbitration proceedings may be significant, and any legal or arbitration proceedings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Failure to comply with the FCPA, economic and trade sanctions regulations, and similar laws could subject us to penalties and other adverse consequences.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the FCPA and other laws in the U.S. and elsewhere that prohibit improper payments or offers of payments to foreign governments and their officials and political parties for the purpose of obtaining or retaining business. Certain suppliers and manufacturers of devices and supplies provided in connection with our programs are located in countries known to experience corruption. Business activities in these countries create the risk of unauthorized payments or offers of payments by one of our employees, contractors, or agents that could be in violation of various laws, including the FCPA and anti-bribery laws in these countries, even though these parties are not always subject to our control. While we have implemented policies and procedures designed to discourage these practices by our employees, consultants, and agents and to identify and address potentially impermissible transactions under such laws and regulations, we cannot assure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you that none of our employees, consultants, and agents will take actions in violation of our policies, for which we may be ultimately responsible.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also subject to certain economic and trade sanctions programs that are administered by the U.S. Department of the Treasury’s Office of Foreign Assets Control which prohibit or restrict transactions to or from or dealings with specified countries, their governments, and in certain circumstances, their nationals, and with individuals and entities that are specially-designated nationals of those countries, narcotics traffickers, and terrorists or terrorist organizations.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Failure to comply with any of these laws and regulations or changes in this regulatory environment, including changing interpretations and the implementation of new or varying regulatory requirements by the government, may result in significant financial penalties or reputational harm, which could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Changes in the regulation of the Internet could adversely affect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Laws, rules, and regulations governing Internet communications, advertising, and e-commerce are dynamic, and the extent of future government regulation is uncertain. Federal and state regulations govern various aspects of our online business, including intellectual property ownership and infringement, trade secrets, the distribution of electronic communications, marketing, and advertising, user privacy and data security, search engines, and Internet tracking technologies. Future taxation on the use of the Internet or e-commerce transactions could also be imposed. Existing or future regulation or taxation could increase our operating expenses and expose us to significant liabilities. To the extent any such regulations require us to take actions that negatively impact us, they could have a material adverse effect on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Legislative or regulatory healthcare reforms or reductions in government spending may make it more difficult and costly to produce, market, and distribute our programs or to do so profitably.</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Recent political, economic, and regulatory influences are subjecting the healthcare industry to fundamental changes. Federal and state governments in the U.S. and foreign governments continue to propose and pass new legislation and regulations designed to contain or reduce the cost of healthcare, improve quality of care, and expand access to healthcare. For example, the Patient Protection and Affordable Care Act, as amended by the ACA, made major changes in how healthcare is delivered and reimbursed and increased access to health insurance by the uninsured and underinsured population of the U.S. The ACA, among other things, increased the number of individuals eligible for Medicaid and private insurance coverage, implemented reimbursement policies that tie payment to quality, facilitated the creation of accountable care organizations that may use capitation and other alternative payment methodologies, strengthened enforcement of fraud, waste, and abuse laws, and encouraged the use of IT.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the ACA requires (with limited exceptions) that private health plans cover certain recommended preventive services without imposing member cost-sharing. For these purposes, “preventive services” refer to services selected by certain agencies, including the U.S. Preventive Services Task Force. Qualified health plans for individuals and the small-group market must also cover certain “essential benefits,” including chronic disease management, although those plans may meet that ACA requirement with other services and are not required to cover Omada’s programs specifically. Any changes to these coverage requirements and/or cost-sharing prohibitions could materially and adversely affect our business, financial condition, and results of operations.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Separately, individuals covered by HDHPs may receive preventive care, including certain preventive services identified by agencies like the U.S. Preventive Services Task Force and certain other items identified by the IRS, without cost-sharing, even if the high deductible has not yet been met, while remaining eligible to make HSA contributions. Additionally, HDHP participants will remain eligible to make HSA contributions even if, before their high deductible has been met, they receive disease management or wellness programs that do not provide significant benefits in the nature of medical care or treatment, without cost-sharing and if they receive telehealth services.</w:t>
      </w:r>
    </w:p>
    <w:p>
      <w:pPr>
        <w:pStyle w:val="TextBody"/>
        <w:bidi w:val="0"/>
        <w:spacing w:lineRule="auto" w:line="288" w:before="0" w:after="240"/>
        <w:ind w:left="0" w:right="0" w:firstLine="450"/>
        <w:jc w:val="both"/>
        <w:rPr/>
      </w:pPr>
      <w:r>
        <w:rPr>
          <w:rFonts w:ascii="Times New Roman;serif" w:hAnsi="Times New Roman;serif"/>
          <w:b w:val="false"/>
          <w:color w:val="000000"/>
          <w:sz w:val="20"/>
        </w:rPr>
        <w:t xml:space="preserve">Although the ACA’s delegation to the U.S. Preventive Services Task Force to recommend preventive services for ACA-compliant plans was challenged in </w:t>
      </w:r>
      <w:r>
        <w:rPr>
          <w:rFonts w:ascii="Times New Roman;serif" w:hAnsi="Times New Roman;serif"/>
          <w:b w:val="false"/>
          <w:i/>
          <w:color w:val="000000"/>
          <w:sz w:val="20"/>
        </w:rPr>
        <w:t>Braidwood Management Inc., et al. v. Xavier Becerra, et al.</w:t>
      </w:r>
      <w:r>
        <w:rPr>
          <w:rFonts w:ascii="Times New Roman;serif" w:hAnsi="Times New Roman;serif"/>
          <w:b w:val="false"/>
          <w:color w:val="000000"/>
          <w:sz w:val="20"/>
        </w:rPr>
        <w:t xml:space="preserve">, the authority to make that delegation was confirmed by the U.S. Supreme Court in June 2025. As a result, the U.S. Preventive Services Task Force recommendations that are approved by the Secretary of Health and Human Services are mandatory for ACA-compliant plans. Additionally, the IRS has issued guidance indicating that those same recommended services will continue to be considered preventive care that does not affect HSA eligibility for a HDHP participant. Nevertheless, any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changes to this guidance or to the types of care that HDHP participants may receive without cost-sharing may require us to collect cost-sharing for those individuals, cause fewer customers and channel partners to make our programs available, cause fewer covered individuals to choose to enroll in our programs, and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legislative changes have been adopted since the ACA was enacted. These changes include aggregate reductions to Medicare payments to providers, which began in 2013 and, due to subsequent legislative amendments, will stay in effect through 2032, with the exception of a temporary suspension from May 1, 2020 through March 31, 2022,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July 2025, the OBBBA was enacted, which imposes significant reductions in the funding of the Medicaid program and restrictions for certain groups to access the ACA marketplace. These changes are expected to decrease the number of persons enrolled in Medicaid and reduce the services covered by Medicaid and may result in an increase in the number of individuals who are unable to access health insurance benefits and medical care. OBBBA also, however, expands access to telehealth and other remote-care services for individuals who are covered by HDHPs by permanently extending the previous, COVID-era safe harbor permitting HDHPs to cover these services without cost-sharing.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New laws may result in additional reductions in Medicare, Medicaid and other healthcare funding, which may materially and adversely affect demand for our programs among customers, channel partners, and members and affordability for our programs and, accordingly, our business, financial condition, results of operations, and prospects. Federal, state, or local budget cuts and cancellation of grants to state and local health departments and other agencies have reduced, and may continue to reduce, the number of individuals covered by those government funds for our programs. Additional changes that may affect our business include the expansion of new programs such as Medicare payment for performance initiatives for physicians under the Medicare Access and CHIP Reauthorization Act of 2015, which first affected physician payment in 2019. At this time, it is unclear how the introduction of the Medicare quality payment program will impact overall healthcare reimbursement. Such changes in the regulatory environment may also result in changes to our payer mix that may affect our operations and revenue. Further, the ACA may adversely affect payers by increasing medical costs generally, which could have an effect on the industry and potentially impact our business and revenue as payers seek to offset these increases by reducing costs in other areas. Certain of these provisions are still being implemented, and the full impact of these changes on us cannot be determined at this time. We expect that additional state and federal healthcare reform measures will be adopted in the future, any of which could limit the amounts that federal and state governments and other third-party payers will pay for healthcare products and services, which could materially and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subject to consumer protection laws that regulate our marketing and benefit outreach practices and prohibit unfair or deceptive acts or practices. Our actual or perceived failure to comply with such obligations could harm our business, and changes in such regulations or laws could require us to modify our programs or marketing, advertising, or benefit outreach efforts.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marketing or advertisement of our programs to potential customers and channel partners and our benefit outreach to covered individuals, we could be the target of claims relating to false, misleading, deceptive, or otherwise noncompliant advertising, marketing, or outreach practices, including under the auspices of the FTC and state consumer protection statutes. To the extent we use third parties to assist with or conduct any marketing, advertising, or benefit outreach regarding our programs, we could be liable for, or face reputational harm as a result of, their practices if, for example, they fail to comply with applicable statutory and regulatory requirements.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we are found to have breached any consumer protection, advertising, unfair competition, or other laws or regulations, we may be subject to enforcement actions that require us to change our marketing or advertising to potential customers and channel partners, our benefit outreach to covered individuals, and other business practices in a manner which may negatively impact us. This could also result in litigation, fines, penalties, and adverse publicity that could cause reputational harm and loss of trust from customers, channel partners, and members, which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Certain of the devices and supplies provided in connection with our programs are subject to extensive government regulation at the federal and state level, and any failure by the producers of such devices to comply with applicable requirements could harm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of the devices provided in connection with our programs, including blood pressure monitors, blood glucose monitors (including continuous glucose monitors), and diagnostic blood tests, are medical devices that are subject to extensive regulation in the U.S., including by the FDA and state agencies. The FDA regulates, among other things, the design, development, research, manufacture, testing, packaging, distribution, storage, recordkeeping, reporting, labeling, marketing, promotion, advertising, sale, import, and export of devices. We rely on third parties to supply and manufacture the devices provided in connection with our programs. Applicable medical device regulations are complex and have tended to become more stringent over time, and regulatory changes could result in restrictions on the ability of our manufacturers to supply the devices that we provide to members in connection with our programs.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of the connected devices we provide to our members, including the blood glucose monitors and blood pressure monitors, have received 510(k) clearance. In the 510(k) clearance process, before a device may be marketed, the FDA must determine that the proposed device is “substantially equivalent” to a legally marketed “predicate” device, which includes a device that has been previously cleared through the 510(k) process, a device that was legally marketed prior to May 28, 1976 (a pre-amendments device), a device that was originally on the U.S. market pursuant to an approved PMA application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PMA process,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modifications made to products cleared through a 510(k) may require a new 510(k) clearance. Both the PMA approval and the 510(k) clearance process can be expensive, lengthy, and uncertain. We do not manufacture, reprocess, remanufacture, export, or act as an initial importer or specification developer for the medical devices we provide to members, nor have we sought or obtained 510(k) clearance, PMA approval, or other marketing authorizations for the connected devices provided in connection with our programs. We remain wholly reliant on our suppliers and contract manufacturers to obtain the requisite marketing authorizations for their products and to comply with their respective obligations to comply with applicable FDA regulations and other legal requirements, including complying with relevant elements of FDA’s Quality Management System Regulation, which sets forth the FDA’s current Good Manufacturing Practice requirements for medical devices. We cannot assure you that our suppliers and contract manufacturers will comply with applicable laws and regulation, nor can we assure that any particular medical device we may seek to provide in connection with our programs will be approved, cleared, or otherwise authorized by the FDA in the manner in which we expect. Any failures by our suppliers or third-party manufacturers to comply with applicable laws or regulations enforced by the FDA and comparable regulatory authorities, or any delay or failure by such parties to obtain necessary regulatory clearances or approvals for the devices we use in connection with our programs, if required in the future, could harm our business.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our third-party suppliers fail to comply with the FDA’s Quality Management System Regulation (“QMSR”) or similar foreign regulations, our ability to distribute the devices that are provided to members in connection with our programs could be impaired.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of our third-party suppliers are required to comply with the FDA’s QMSR and similar foreign regulations, which cover the methods and documentation of the design, testing, production, control, quality assurance, labeling, packaging, sterilization, storage, and shipping of the devices that are provided to members in connection with our programs. The FDA and foreign regulators audit compliance with the QMSR and similar foreign regulations through periodic announced and unannounced inspections of manufacturing and other facilities. The FDA or foreign regulators may impose inspections or audits at any time.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guarantee that our third-party suppliers will take the necessary steps to comply with applicable regulations, and their failure to do so could cause delays in the manufacture and delivery of our products. In addition,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third-party supplier’s failure to comply with applicable FDA requirements or later discovery of previously unknown problems with the devices or manufacturing processes for the devices could result in, among other things: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suspension or withdrawal of future clearances or approvals;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seizures or recalls of the devices;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total or partial suspension of production or distribution for the devices;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administrative or judicially imposed sanctions against the devices;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refusal to permit the import or export of the devices;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of these actions could significantly and negatively impact supply of the connected devices that we are required to provide to members in connection with our programs. If any of these events occurs, our reputation could be harmed, we could be exposed to product liability claims, and we could lose customers and channel partners and suffer reduced revenue and increased costs.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business could be adversely affected by legal challenges to our business model or by actions restricting our ability to provide the full range of our services in certain jurisdictions.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ability to conduct our business in a particular U.S. state is directly dependent upon the applicable laws governing virtual healthcare and healthcare delivery in general in such location, which vary from state to state and are subject to changing political, regulatory, and other influences. With respect to virtual care services, in the past, state medical and physical therapy boards have established new rules or interpreted existing rules in a manner that has limited or restricted our and our affiliated professional entities’ ability to conduct business as it was conducted in other states or may do so in the future. Some of these actions have resulted in litigation and the suspension or modification of virtual care operations in certain states. Requirements for the practice of medicine and physical therapy as well as the delivery of medical or prescription services via telehealth are subject to change and to evolving interpretations by relevant boards and state attorneys general, among others, each with broad discretion, and these requirements may apply to services we provide. Accordingly, we must monitor our compliance with laws in every jurisdiction in which we operate, on an ongoing basis, and we cannot provide assurance that our activities and arrangements, if challenged, will be found to be in compliance with applicable laws. It is possible that the laws and rules governing the provision of healthcare, including virtual healthcare, in one or more jurisdictions may change in a manner deleterious to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Increased regulation and legislative review of virtual healthcare practices could further increase our costs of doing business. Authorities may not agree with our interpretation of existing or future legislation and regulation, which may require us to incur additional costs. Further, new or existing measures may restrict the delivery of certain virtual services, such as virtual physical therapy or prescribing medications, including GLP-1s, based solely on a telehealth visit, or add new requirements, including requirements that members receiving those virtual services have the right to request and receive in-person care. If states pass additional measures, we may need to make adjustments to the delivery of our platform and programs in those jurisdictions. New or existing measures could make it difficult and more expensive to operate our business in general or to operate our business in those states, which could materially and adversely affect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 legal challenge to our activities and arrangements is successful, or an adverse change in the relevant laws were to occur, and we were unable to adapt our business model accordingly, our operations as well as the operations of our affiliated professional entities in the affected jurisdictions would be disrupted, which could have a material adverse effect on our business, financial condition, results of operations, and prospects. Failure to comply with these laws could also result in professional discipline for the providers of our affiliated professional entities or business partners or civil or criminal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Relating to Financial and Accounting Matters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other tax attributes may be limited due to certain provisions of the Internal Revenue Code or state tax law.</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incurred substantial losses during our history and have not achieved profitability. U.S. federal net operating loss carryforwards (“NOLs”) we generated in tax years through December 31, 2017 may be carried forward for 20 years and may fully offset taxable income in the year utilized, and federal NOLs we generated in tax years beginning after December 31, 2017 may be carried forward indefinitely but may only be used to offset 80% of our taxable income annually for tax years beginning after December 31, 2020.</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Realization of these NOLs depends on future taxable income, and there is a risk that our existing NOLs could expire unused and be unavailable to offset future taxable income, which could adversely affect our results of operations.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under Sections 382 and 383 of the Code, if a corporation undergoes an “ownership change,” the corporation’s ability to use its pre-change federal NOLs and other tax attributes (such as tax credits) to offset its post-change taxable income and taxes may be limited. In general, an “ownership change” occurs if there is a greater than 50 percentage point change (by value) in a corporation’s equity ownership by certain stockholders over a rolling three-year period. We may experience ownership changes in the future as a result of subsequent shifts in our stock ownership (some of which shifts are outside our control). As a result, our ability to use pre-change federal NOLs and other tax attributes to offset future taxable income and taxes could be subject to limitations. Similar provisions of state tax law may also apply. For these reasons, even if we achieve profitability, we may be unable to use a material portion of our NOLs and other tax attributes, which could materially and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effective tax rate may vary significantly from period to period.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Various internal and external factors may have favorable or unfavorable effects on our future effective tax rate. These factors include, but are not limited to, changes in tax laws, regulations, or rates, both within and outside the U.S., structural changes in our business, new accounting pronouncements or changes to existing accounting pronouncements, non-deductible goodwill impairments, changing interpretations of existing tax laws or regulations, changes in the relative proportions of revenue and income before taxes in the various jurisdictions in which we operate that have different statutory tax rates, the future levels of tax benefits of equity-based compensation, changes in overall levels of pretax earnings, or changes in the valuation of our deferred tax assets and liabilities. Additionally, we could be challenged by state and local tax authorities as to the propriety of our sales tax compliance, and our results could be materially impacted by these compliance determinations.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our effective tax rate may vary significantly depending on the market price of our common stock. The tax effects of the accounting for share-based compensation may significantly impact our effective tax rate from period to period. In periods in which the market price of our common stock is higher than the grant price of the share-based compensation vesting in that period, we will recognize excess tax benefits that will decrease our effective tax rate. In future periods in which our stock price is lower than the grant price of the share-based compensation vesting in that period, our effective tax rate may increase. The amount and value of share-based compensation issued relative to our earnings in a particular period will also affect the magnitude of the impact of share-based compensation on our effective tax rate. These tax effects are dependent on the market price of our common stock, which we do not control, and a decline in our stock price could significantly increase our effective tax rate and adversely affect our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Changes in tax laws or tax rulings could adversely affect our effective tax rates, results of operations, and financial condition.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tax regimes we are subject to or operate under are unsettled and may be subject to significant change. This challenge will continue to increase as we expand our operations globally. Changes in tax laws, issuance of new tax rulings, or changes in interpretations of existing laws could cause us to be subject to additional income- based taxes and non-income-based taxes, including payroll, sales, use, value-added, digital, net worth, property, and goods and services taxes, which in turn could adversely affect our results of operations and financial condition. 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it may enact further limitations on the deductibility of business interest. For example, on August 16, 2022, the Inflation Reduction Act (the “IRA”) was signed into law in the U.S. Among other changes, the IRA, along with subsequent regulations, imposes a minimum tax on certain corporations with book income of at least $1 billion, subject to certain adjustments, and a 1% excise tax on certain stock buybacks and similar corporate actions.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many countries in the European Union, as well as a number of other countries and organizations, have recently proposed or recommended changes to existing tax laws or have enacted new laws that could impact our tax obligations in the future. We are unable to predict what changes to the tax laws of the U.S. and other jurisdictions may be proposed or enacted in the future or what effect such changes would have on our business. Any of these or similar developments or changes to tax laws or rulings (which changes may have retroactive application) could adversely affect our effective tax rate and our results of operations and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applicability of sales, use, and other tax laws or regulations on our business is uncertain. Adverse tax laws or regulations could be enacted or existing laws could be applied to us, our customers, or our channel partners, which could subject us to additional tax liability and related interest and penalties, increase the costs of our programs, and adversely impact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application of federal, state, local, and international tax laws to services provided electronically is evolving. New income, sales, use, value-added, or other tax laws, statutes, rules, regulations, or ordinances could be enacted at any time (possibly with retroactive effect) and could be applied solely or disproportionately to services provided over the Internet or could otherwise materially affect our results of operations and financial condition.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state, local, and foreign tax jurisdictions have differing rules and regulations governing sales, use, value-added, and other taxes, and these rules and regulations can be complex and are subject to varying interpretations that may change over time. Existing tax laws, statutes, rules, regulations, or ordinances could be interpreted, changed, modified, or applied adversely to us (possibly with retroactive effect). We have not collected sales taxes in all jurisdictions in which our customers and members are located, and we believe we may have exposure for potential sales tax liability, including interest and penalties, for which we have established a reserve in our financial statements based on estimates, and any sales tax exposure may be material to our operating results. Although our contracts with customers and channel partners typically provide that our customers and channel partners must pay all applicable sales and similar taxes, they may be reluctant to pay back taxes and associated interest or penalties, or we may determine that it would not be commercially feasible to seek reimbursement. In addition, we, our customers, or our channel partners could be required to pay additional tax amounts on both future as well as prior sales, and possibly fines or penalties and interest for past due taxes. If we are required to collect and pay back taxes and associated interest and penalties, and if the amount we are required to collect and pay exceeds our estimates and reserves, or if we are unsuccessful in collecting such amounts from our customers or channel partners, we could incur substantial unplanned expenses, thereby adversely impacting our operating results and cash flows. Imposition of such taxes on our services going forward or collection of sales tax from our customers or channel partners in respect of prior sales could also adversely affect our sales activity and have a negative impact on our operating results and cash flows.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One or more states may seek to impose incremental or new sales, use, value added, or other tax collection obligations on us, including for past sales by us or our channel partners. A successful assertion by a state, country, or other jurisdiction that we should have been or should be collecting additional sales, use, value added, or other taxes on our programs could, among other things, result in substantial tax liabilities for past sales, create significant administrative burdens for us, discourage members from utilizing our programs or otherwise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cash deposits with financial institutions exceed insured limits.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the majority of our cash and cash equivalents in accounts with one or more U.S. financial institutions, and our deposits at these institutions exceed insured limits. Market conditions can impact the viability of financial institutions. In the event of failure of any of the financial institutions where we maintain our cash and cash equivalents, there can be no assurance that we would be able to access uninsured funds in a timely manner or at all. For example, bank failures in early 2023 impacted the timing of the collection of our receivables as we switched depositories. Any inability to access or delay in accessing these funds could adversely affect our business and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Changes in accounting principles or the interpretation thereof by the Financial Accounting Standards Board (“FASB”) affecting consolidation of entities could impact our consolidation of total revenues derived from PPTG.</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financial statements are consolidated and include the accounts of PPTG, a professional corporation owned and operated by physical therapists that was determined to be a variable interest entity (“VIE”) for which we are the primary beneficiary, which consolidation is effected in accordance with applicable accounting rules. In the event of a change in accounting principles promulgated by FASB or in FASB’s interpretation of its principles, an adverse determination by a regulatory agency or a court, or a change in federal or state law relating to the ability to maintain present agreements or arrangements with PPTG, we may not be permitted to continue to consolidate the total revenues of PPTG. While our revenues derived from PPTG are not material, in the event PPTG revenues were to become a material portion of our revenues in the future, any inability to include the accounts of PPTG in our financial statements could adversely affect our business, results of operations, and financial condition.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Risks Relating to Our Common Stock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an “emerging growth company,” and we cannot be certain if the reduced reporting requirements applicable to emerging growth companies will make our common stock less attractive to investors.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Jumpstart Our Business Startups Act of 2012 (the “JOBS Act”). We will remain an “emerging growth company” until the earliest to occur of:</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last day of the fiscal year during which our total annual revenue equals or exceeds $1.235 billion (subject to adjustment for inflation);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last day of the fiscal year following the fifth anniversary of our IPO;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date on which we have, during the previous three-year period, issued more than $1 billion in non-convertible debt;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date on which we are deemed to be a “large accelerated filer” under the Exchange Act.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Investors may find our common stock less attractive because we may rely on these exemptions. If some investors find our common stock less attractive as a result, there may be a less active trading market for our common stock and the market price of our common stock may be adversely affected and more volatile.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will continue to incur increased costs and be subject to additional regulations and requirements as a result of recently becoming a public company, which could lower our profits or make it more difficult to run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company, we will continue to incur significant legal, accounting, and other expenses that we did not incur as a private company, including costs associated with public company reporting requirements. We have also incurred and will continue to incur costs associated with the Sarbanes-Oxley Act and related rules implemented by the SEC and the exchange our securities are listed on. The expenses generally incurred by public companies for reporting and corporate governance purposes have been increasing. We expect these rules and regulations to increase our legal and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have identified material weaknesses in our internal control over financial reporting. If our remediation of the material weaknesses is not effective, or if we experience additional material weaknesses in the future or otherwise fail to maintain an effective system of internal controls in the future, we may not be able to accurately or timely report our results of operations or financial condition, which may adversely affect investor confidence in us and, as a result, the value of our common stock.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required to maintain internal control over financial reporting and to report any material weaknesses in such internal controls. In addition, beginning with our next annual report on Form 10-K, we will be required to furnish a report by management on the effectiveness of our internal control over financial reporting, pursuant to Section 404 of the Sarbanes-Oxley Act. Effective internal control over financial reporting is necessary for us to provide reliable and timely financial reports and, together with adequate disclosure controls and procedures, are designed to reasonably detect and prevent fraud. Any failure to implement required new or improved controls, or difficulties encountered in their implementation, could cause us to fail to meet our reporting obligations. The process of designing, implementing, and testing the internal control over financial reporting required to comply with this obligation is time consuming, costly, and complicated.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identified material weaknesses in our internal control over financial reporting as of December 31, 2025, 2024, and 2023.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Management identified control deficiencies related to: (i) inadequate segregation of duties within our financial reporting process, leading to certain duties being performed by the same individuals, (ii) an insufficient complement of personnel with an appropriate level of technical knowledge to properly account for significant transactions, and (iii) inadequate formalized processes and control activities to support the financial close and reporting process, including the review of financial information, account analysis, and journal entries. These material weaknesses resulted in adjustments to the financial statements for the years ended December 31, 2023 and 2024.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fiscal year 2025, with the oversight of the Audit Committee of the Board of Directors, the Company began implementing a remediation plan to address these material weaknesses. As a result of this remediation plan, management determined that the previously identified material weaknesses related to (i) inadequate segregation of duties within our financial reporting process and (ii) insufficient complement of personnel with an appropriate level of technical knowledge to properly account for significant transactions were each remediated as of December 31, 2025. Management also concluded that, as of December 31, 2025, the remediation of the material weakness related to inadequate formalized processes and control activities to support the financial close and reporting process, including the review of financial information, account analysis, and journal entries, will require further enhancement, validation, and testing of the design and operating effectiveness of internal controls over a sustained period of financial reporting cycles. This remaining material weakness resulted in adjustments to the financial statements for the year ended December 31, 2025.</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response to the remaining material weakness, we are committed to improving our internal control over financial reporting by implementing a remediation plan that includes: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continuing to hire qualified technical accounting and financial reporting personnel with public company experience to perform control activities;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continuing the process of implementing, enhancing, and formalizing control activities related to significant accounts and disclosures;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investing in additional technology infrastructure and refinement to enhance monitoring of financial transactions and exceptions and to promote related data integrity.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remediation actions are subject to ongoing review by our senior management and oversight from our audit committee. We will not be able to conclude whether these remediation actions will fully remediate the material weaknesses in our internal control over financial reporting until we have completed our remediation efforts and subsequent evaluation of their effectiveness.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cannot assure you that the measures we have taken to date, and are continuing to implement, will be sufficient to remediate the material weakness we have identified or avoid potential future material weaknesses. If the steps we take do not correct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we fail to remediate our existing material weakness or identify new material weaknesses in our internal controls over financial reporting, if we are unable to comply with the requirements of Section 404 of the Sarbanes-Oxley Act in a timely manner, if we are unable to conclude that our internal controls over financial reporting are effective, or if our independent registered public accounting firm is unable to express an opinion as to the effectiveness of our internal controls over financial reporting when we are no longer an emerging growth company,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stockholders, which could harm our reputation and financial condition or divert financial and management resources from our regular business activities.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do not intend to pay dividends in the foreseeable future. As a result, your ability to achieve a return on your investment will depend on appreciation in the market price of our common stock.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capital stock, and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Additionally, our ability to pay cash dividends on our capital stock may be limited by the terms of any future debt or preferred securities we issue or any future credit facilities we enter into. Accordingly, investors must for the foreseeable future rely on sales of their common stock after price appreciation, which may never occur, as the only way to realize any future gains on their investments.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our operating and financial performance in any given period does not meet any guidance that we provide to the public, the market price of our common stock may decline.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but are not obligated to, provide public guidance on our expected operating and financial results for future periods. Any such guidance will be composed of forward-looking statements subject to the risks and uncertainties described in this Quarterly Report on Form 10-Q and in our other public filings and public statements. Our actual results may not always be in line with or exceed any guidance we have provided, especially in times of economic uncertainty. If actual circumstances differ from those in our assumptions, our operating and financial results could fall below our publicly announced guidance or the expectations of investors. If, in the future, our operating or financial results for a particular period do not meet any guidance we provide or the expectations of investment analysts or investors generally, or if we reduce our guidance for future periods, the market price of our common stock may decline. Even if we do issue public guidance, there can be no assurance that we will continue to do so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might require additional capital to support business growth, and this capital might not be available on terms favorable to us, or at all, and may dilute existing stockholders’ ownership of our common stock.</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intend to continue to make investments to support our business growth and may require additional funds to respond to business challenges and opportunities, including the need to develop new programs, enhance our existing programs, enhance our operating infrastructure, expand internationally, and acquire complementary businesses and technologies. In order to achieve these objectives, we may make future commitments of capital resources.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principal stockholders and management own a significant percentage of our stock and will be able to exert significant control over matters subject to stockholder approval.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executive officers, directors, holders of 5% or more of our capital stock and their respective affiliates own a significant percentage of our stock and have the ability to influence us through this ownership position. These stockholders may be able to exert significant control over matters requiring stockholder approval, including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Sales of a substantial number of shares of our common stock in the public market could cause our stock price to fall.</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Sales of a large number of shares of our common stock in the public market and/or the perception that these sales could occur may cause the trading price of our common stock to decline and impair our ability to raise adequate capital through the sale of additional equity or equity-linked securities.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Holders of a significant number of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Provisions in our charter documents and under Delaware law could discourage a takeover that stockholders may consider favorable and may lead to entrenchment of management.</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restated certificate of incorporation and amended and restated bylaws contain provisions that could delay or prevent changes in control or changes in our management without the consent of our board of directors. These provisions include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classified board of directors with three-year staggered terms, which may delay the ability of stockholders to change the membership of a majority of our board of directors;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no cumulative voting in the election of directors, which limits the ability of minority stockholders to elect director candidates;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ability of our board of directors to authorize the issuance of shares of preferred stock and to determine the price and other terms of those shares, including preferences and voting rights, without stockholder approval, which could result in significant dilution to our common stockholders (including upon the conversion of any such shares of preferred stock into common stock) and could also be used to significantly dilute the ownership of a hostile acquirer;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ability of our board of directors to alter our amended and restated bylaws without obtaining stockholder approval;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required approval of at least 66 2/3% of the shares entitled to vote at an election of directors to adopt, amend, or repeal our amended and restated bylaws or to repeal certain provisions of our restated certificate of incorporation;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requirement that a special meeting of stockholders may be called only by our board of directors, which may delay the ability of our stockholders to force consideration of a proposal or to take action, including the removal of directors;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also subject to the anti-takeover provisions contained in Section 203 of the General Corporation Law of the State of Delaware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Claims for indemnification by our directors, officers, and other employees or agents may reduce our available funds to satisfy successful third-party claims against us and may reduce the amount of money available to us.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restated certificate of incorporation and amended and restated bylaws provide that we will indemnify our directors and officers, in each case to the fullest extent permitted by Delaware law.</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as permitted by Section 145 of the Delaware General Corporation Law, our amended and restated bylaws and our indemnification agreements that we have entered into with our directors, officers, and certain other employees provide that: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may, in our discretion, indemnify employees and agents in those circumstances where indemnification is permitted by applicable law.</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may not retroactively amend our amended and restated bylaw provisions to reduce our indemnification obligations to directors, officers, employees, and agents.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restated certificate of incorporation and amended and restated bylaws provide that the Court of Chancery of the State of Delaware is the exclusive forum for certain disputes between us and our stockholders, which could limit our stockholders’ ability to obtain a favorable judicial forum for disputes with us or our directors, officers or employees.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Delaware General Corporation Law, our restated certificate of incorporation or our amended and restated bylaws, or any action asserting a claim against us that is governed by the internal affairs doctrine; provided that, the exclusive forum provision does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restated certificate of incorporation and amended and restated bylaws also provide that the federal district courts of the United States of America are the exclusive forum for the resolution of any complaint asserting a cause of action against us or any of our directors, officers, employees, or agents and arising under the Securities Act. Nothing in our restated certificate of incorporation or amended and restated bylaws precludes stockholders that assert claims under the Exchange Act from bringing such claims in state or federal court, subject to applicable law.</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this choice of forum provision may limit a stockholder’s ability to bring a claim in a judicial forum that it finds favorable for disputes with us or any of our directors, officers, other employees, or stockholders, which may discourage lawsuits with respect to such claims (including by making it more costly for stockholders to bring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contained in our restated certificate of incorporation and amended and restated bylaws to be inapplicable or unenforceable in an action, we may incur additional costs associated with resolving such action in other jurisdictions, which could adversely affect our business, financial condition, results of operations,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market price of our common stock may be volatile, which could cause the value of your investment to decline.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be highly volatile and could be subject to wide fluctuations. Securities markets worldwide experience significant price and volume fluctuations. This market volatility, as well as general economic, market, or political conditions, could reduce the market price of our common stock regardless of our operating performance. In addition, our results of operations could be below the expectations of public market analysts and investors due to a number of potential factors, including variations in our quarterly results of operations, additions or departures of key management personnel, failure to meet analysts’ earnings estimates, publication of research reports about our industry, litigation and government investigations, data privacy and security-related events,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adverse publicity about the technology or virtual care industry, or individual scandals, and, in response, the market price of our common stock could decrease significantly. You may be unable to resell your shares of common stock at or above the purchase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Stock markets experience extreme price and volume fluctuations.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securities or industry analysts do not continue to publish research or reports about our business, or if they issue an adverse or misleading opinion regarding our stock, our stock price and trading volume could decline.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engage in acquisitions or strategic transactions or partnerships, it may increase our capital requirements, dilute our stockholders, cause us to incur debt or assume contingent liabilities, and subject us to other risks.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may evaluate various acquisitions and strategic transactions or partnerships, including licensing or acquiring complementary offerings, intellectual property rights, technologies, or businesses. Any acquisition or strategic transaction or partnership may entail numerous risks,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increased operating expenses and cash requirements;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assumption of additional indebtedness or contingent liabilities;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goodwill impairment;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assimilation of operations, intellectual property, and offerings of an acquired company, including difficulties associated with integrating new personnel;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diversion of our management’s attention from our existing programs and initiatives in pursuing such a strategic merger or acquisition;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loss of key personnel and uncertainties in our ability to maintain key business relationships;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uncertainties associated with the other party to such a transaction, including the prospects of that party and their existing products or product candidates and regulatory approvals;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inability to generate revenue from acquired technology and/or offerings sufficient to meet our objectives in undertaking the acquisition or even to offset the associated acquisition and maintenance costs.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we undertake acquisitions or strategic transactions or partnerships, we may issue dilutive securities, assume or incur debt obligations, incur large one-time expenses, and acquire intangible assets that could result in significant future amortization expense. Acquisitions or strategic transactions or partnerships could also result in costly litigation or liabilities for any breach of representation or warranties made in connection with those transactions. </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identification of these transactions can be difficult, time-consuming, and costly, and the transactions may not result in the benefits we anticipate. We may not be able to locate suitable opportunities for acquisitions or strategic transactions or partnerships, and even if we do locate such opportunities we may not be able to successfully bid for or obtain them on favorable terms, if at all, due to competitive factors or lack of sufficient resources. This inability could impair our ability to grow or obtain access to technology or products that may be important to the development of our business. Entering into negotiations for transactions that are not ultimately consummated may also result in diversion of management time and significant out-of-pocket costs. In addition, any acquisitions or strategic transactions or partnerships that we announce could be viewed negatively by our customers and channel partners, our members, our investors, or the public.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Economic uncertainties or downturns in the general economy or the industries in which we or our customers or channel partners operate could disproportionately affect the demand for our programs and negatively impact our business, financial condition, results of operations, and prospects.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Economic downturns, market volatility, inflation, tariffs (including uncertainty related to the implementation and enforceability thereof), and uncertainty make it potentially very difficult for us and our customers and channel partners to accurately forecast and plan future business activities. During challenging economic times, our customers or channel partners may have difficulty gaining timely access to sufficient credit or obtaining credit on reasonable terms, which could impair their ability to make timely payments to us and adversely affect our revenue. Bank failures have had and in the future may have a similar impact on the ability or willingness of our customers and channel partners to make payments to us and the timing of collection of our receivables. If that were to occur, our financial results could be harmed. Furthermore, we have customers in a variety of different industries. A significant downturn in the economic activity attributable to any particular industry may cause organizations to react by reducing their capital and operating expenditures in general or by specifically reducing their spending on healthcare matters, including chronic care programs. In addition, our customers or channel partners may delay or cancel healthcare projects or seek to lower their costs by renegotiating contracts. To the extent purchases of our programs are perceived by existing or potential customers and channel partners to be discretionary, our revenue may be disproportionately affected by delays or reductions in general healthcare spending. Also, competitors may respond to challenging market conditions by lowering prices and attempting to lure away our business.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challenging economic conditions, including as a result of increased inflation and tariffs (including uncertainty related to the implementation and enforceability thereof), may impair the ability of our customers and channel partners to pay for the services they already have purchased from us, and as a result, our write-offs of accounts receivable could increase. We cannot predict the timing, strength, or duration of any economic slowdown or recovery. If the condition of the general economy or markets in which we operate worsens, our business, financial condition, results of operations, and prospects could be materially and adversely affected.</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certain of our physical therapy members are covered under health plans that require the member to cover a portion of their own healthcare expenses through the payment of member cost-sharing amounts, such as copayments, deductibles, or co-insurance. PPTG may not be able to collect the full amounts due with respect to these payments that are the member’s financial responsibility. To the extent permitted by law, amounts not covered by third-party payers are the obligations of individual members for which PPTG may not receive whole or partial payment. Any increase in cost shifting from third-party payers to individual members, including as a result of high deductible plans for members, increases our collection costs and reduces overall collections, which we may not be able to offset such additional costs with sufficient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ind w:left="0" w:right="0" w:firstLine="450"/>
        <w:jc w:val="both"/>
        <w:rPr>
          <w:rFonts w:ascii="Times New Roman;serif" w:hAnsi="Times New Roman;serif"/>
          <w:b/>
          <w:i/>
          <w:color w:val="000000"/>
          <w:sz w:val="20"/>
        </w:rPr>
      </w:pPr>
      <w:r>
        <w:rPr>
          <w:rFonts w:ascii="Times New Roman;serif" w:hAnsi="Times New Roman;serif"/>
          <w:b/>
          <w:i/>
          <w:color w:val="000000"/>
          <w:sz w:val="20"/>
        </w:rPr>
        <w:t>Use of Proceeds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9, 2025, we completed our IPO, in which we issued and sold 9,085,000 shares of common stock, which includes the exercise in full by the underwriters of their option to purchase from us 1,185,000 shares of our common stock, at a public offering price of $19.00 per share. We received proceeds of approximately $151.6 million, after deducting underwriting discounts and commissions of $12.0 million and estimated offering expenses of $9.0 million. All shares sold were registered pursuant to a registration statement on Form S-1 (File No. 333-287156), as amended (the “Registration Statement”), declared effective by the U.S. Securities and Exchange Commission on June 5, 2025. Morgan Stanley &amp; Co, LLC, Goldman Sachs &amp; Co. LLC, and J.P. Morgan Securities LLC acted as representatives of the underwriters for the offering. The offering terminated after the sale of all securities registered pursuant to the Registration Statement. No payments for such expenses were made directly or indirectly to (i) any of our officers or directors or their associates, (ii) any persons owning 10% or more of any class of our equity securities, or (iii) any of our affiliates.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used a portion of the net proceeds from our IPO to repay outstanding borrowings under our financing arrangements with MidCap Funding IV Trust. There has been no material change in the expected use of the net proceeds from our IPO as described in our Annual Report on Form 10-K for the year ended December 31, 2025.</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none of our directors or “officers” (as defined in Rule 16a-1(f) of the Exchange Act) adopted, modified, or terminated a “Rule 10b5-1 trading arrangement” or “non-Rule 10b5-1 trading arrangement,” as each term is defined in Item 408(a) of Regulation S-K, except as follows: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On March 13, 2026, Sean Duffy, our Chief Executive Officer and a member of our board of directors, individually and through a trust under which he is a beneficiary, adopted a Rule 10b5-1 trading arrangement intended to satisfy the affirmative defense conditions of Rule 10b5-1(c) (a “Rule 10b5-1 Plan”) for the sale of up to (i) 673,056 shares of our common stock and (ii) the number of shares of our common stock Mr. Duffy will receive following the vesting of restricted stock units covering an aggregate of 146,332 shares of our common stock and the satisfaction of tax obligations in connection with such vesting (the total number of shares to be sold covered under clause (ii) is not yet determinable).The trading plan will terminate at the earlier of the execution of all trading orders pursuant to the plan or June 11, 2027.</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On March 14, 2026, Steve Cook, our Chief Financial Officer, adopted a Rule 10b5-1 Plan for the sale of up to (i) 394,831 shares of our common stock and (ii) the number of shares of our common stock Mr. Cook will receive following the vesting of restricted stock units covering an aggregate of 66,514 shares of our common stock and the satisfaction of tax obligations in connection with such vesting (the total number of shares to be sold covered under clause (ii) is not yet determinable). The trading plan will terminate at the earlier of the execution of all trading orders pursuant to the plan or June 11, 2027.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On March 13, 2026, Wei-Li Shao, our President, adopted a Rule 10b5-1 Plan for the sale of the number of shares of our common stock Mr. Shao will receive following the vesting of restricted stock units covering an aggregate of 85,913 shares of our common stock and the satisfaction of tax obligations in connection with such vesting (the total number of shares to be sold covered under clause (ii) is not yet determinable). The trading plan will terminate at the earlier of the execution of all trading orders pursuant to the plan or June 11, 2027.</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On March 13, 2026, Craig Gracey, our Chief Accounting Officer, adopted a Rule 10b5-1 Plan for the sale of up to 20,833 shares of our common stock and (ii) the number of shares of our common stock Mr. Gracey will receive following the vesting of restricted stock units covering an aggregate of 4,117 shares of our common stock and the satisfaction of tax obligations in connection with such vesting (the total number of shares to be sold covered under clause (ii) is not yet determinable). The trading plan will terminate at the earlier of the execution of all trading orders pursuant to the plan or June 11, 2027.</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the Exhibit Index attached to this registration statement, which Exhibit Index is incorporated herein by reference.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Schedules not listed above have been omitted because the information required to be set forth therein is not applicable or is shown in the financial statements or notes thereto.</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40"/>
        <w:gridCol w:w="1704"/>
        <w:gridCol w:w="1623"/>
        <w:gridCol w:w="109"/>
        <w:gridCol w:w="109"/>
        <w:gridCol w:w="109"/>
        <w:gridCol w:w="170"/>
        <w:gridCol w:w="170"/>
        <w:gridCol w:w="171"/>
        <w:gridCol w:w="111"/>
        <w:gridCol w:w="111"/>
        <w:gridCol w:w="111"/>
        <w:gridCol w:w="183"/>
        <w:gridCol w:w="183"/>
        <w:gridCol w:w="187"/>
        <w:gridCol w:w="111"/>
        <w:gridCol w:w="111"/>
        <w:gridCol w:w="111"/>
        <w:gridCol w:w="230"/>
        <w:gridCol w:w="230"/>
        <w:gridCol w:w="231"/>
        <w:gridCol w:w="109"/>
        <w:gridCol w:w="109"/>
        <w:gridCol w:w="109"/>
        <w:gridCol w:w="242"/>
        <w:gridCol w:w="242"/>
        <w:gridCol w:w="34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70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Herewith</w:t>
            </w:r>
          </w:p>
        </w:tc>
      </w:tr>
      <w:tr>
        <w:trPr/>
        <w:tc>
          <w:tcPr>
            <w:tcW w:w="7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6/9/2025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Amended and Restated Bylaws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6/9/2025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Form of Common Stock Certificate.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Amended and Restated Investors’ Rights Agreement, dated December 22, 2021, by and among Omada Health, Inc. and the investors listed therein.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5/9/2025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omada-nonxemployeedirector.htm">
              <w:r>
                <w:rPr>
                  <w:rStyle w:val="InternetLink"/>
                  <w:rFonts w:ascii="Times New Roman;serif" w:hAnsi="Times New Roman;serif"/>
                  <w:b w:val="false"/>
                  <w:color w:val="000080"/>
                  <w:sz w:val="20"/>
                  <w:u w:val="single"/>
                </w:rPr>
                <w:t>Non-Employee Director Compensation Program (</w:t>
              </w:r>
            </w:hyperlink>
            <w:hyperlink w:anchor="omada-nonxemployeedirector.htm">
              <w:r>
                <w:rPr>
                  <w:rStyle w:val="InternetLink"/>
                  <w:rFonts w:ascii="Times New Roman;serif" w:hAnsi="Times New Roman;serif"/>
                  <w:b w:val="false"/>
                  <w:color w:val="000080"/>
                  <w:sz w:val="20"/>
                  <w:u w:val="single"/>
                </w:rPr>
                <w:t>as amended March 26, 2026).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omada-executivebonusplan.htm">
              <w:r>
                <w:rPr>
                  <w:rStyle w:val="InternetLink"/>
                  <w:rFonts w:ascii="Times New Roman;serif" w:hAnsi="Times New Roman;serif"/>
                  <w:b w:val="false"/>
                  <w:color w:val="000080"/>
                  <w:sz w:val="20"/>
                  <w:u w:val="single"/>
                </w:rPr>
                <w:t>Omada Health</w:t>
              </w:r>
            </w:hyperlink>
            <w:hyperlink w:anchor="omada-executivebonusplan.htm">
              <w:r>
                <w:rPr>
                  <w:rStyle w:val="InternetLink"/>
                  <w:rFonts w:ascii="Times New Roman;serif" w:hAnsi="Times New Roman;serif"/>
                  <w:b w:val="false"/>
                  <w:color w:val="000080"/>
                  <w:sz w:val="20"/>
                  <w:u w:val="single"/>
                </w:rPr>
                <w:t xml:space="preserve"> </w:t>
              </w:r>
            </w:hyperlink>
            <w:hyperlink w:anchor="omada-executivebonusplan.htm">
              <w:r>
                <w:rPr>
                  <w:rStyle w:val="InternetLink"/>
                  <w:rFonts w:ascii="Times New Roman;serif" w:hAnsi="Times New Roman;serif"/>
                  <w:b w:val="false"/>
                  <w:color w:val="000080"/>
                  <w:sz w:val="20"/>
                  <w:u w:val="single"/>
                </w:rPr>
                <w:t>Executive</w:t>
              </w:r>
            </w:hyperlink>
            <w:hyperlink w:anchor="omada-executivebonusplan.htm">
              <w:r>
                <w:rPr>
                  <w:rStyle w:val="InternetLink"/>
                  <w:rFonts w:ascii="Times New Roman;serif" w:hAnsi="Times New Roman;serif"/>
                  <w:b w:val="false"/>
                  <w:color w:val="000080"/>
                  <w:sz w:val="20"/>
                  <w:u w:val="single"/>
                </w:rPr>
                <w:t xml:space="preserve"> Bonus Plan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omda-ex311certificationxq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202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omda-ex312certificationxq1.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202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omda-ex321certificationxq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omada-ex322certificationxq.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Omada, Inc.’s Quarterly Report on Form 10-Q for the quarter ended March 31, 2026 formatted in Inline XBRL (Extensible Business Reporting Language) includes: (i) the Condensed Consolidated Balance Sheets, (ii) the Condensed Consolidated Statements of Operations and Comprehensive Loss, (iii) the Condensed Consolidated Statements of Redeemable Convertible Preferred Stock and Stockholders’ Equity (Deficit), (iv) the Condensed Consolidated Statements of Cash Flows, and (v) Notes to the Condensed Consolidated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_____________</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certifications attached as Exhibit 32.1 and Exhibit 32.2 that accompany this Quarterly Report on Form 10-Q are deemed furnished and not filed with the Securities and Exchange Commission and are not to be incorporated by reference into any filing of Omada Health,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240"/>
        <w:jc w:val="left"/>
        <w:rPr/>
      </w:pPr>
      <w:hyperlink w:anchor="i2fbdbddabcb140d0bc8f6db8d3277c0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7450" w:type="dxa"/>
        <w:jc w:val="left"/>
        <w:tblInd w:w="0" w:type="dxa"/>
        <w:tblLayout w:type="fixed"/>
        <w:tblCellMar>
          <w:top w:w="28" w:type="dxa"/>
          <w:left w:w="28" w:type="dxa"/>
          <w:bottom w:w="28" w:type="dxa"/>
          <w:right w:w="28" w:type="dxa"/>
        </w:tblCellMar>
      </w:tblPr>
      <w:tblGrid>
        <w:gridCol w:w="591"/>
        <w:gridCol w:w="520"/>
        <w:gridCol w:w="523"/>
        <w:gridCol w:w="349"/>
        <w:gridCol w:w="349"/>
        <w:gridCol w:w="349"/>
        <w:gridCol w:w="1387"/>
        <w:gridCol w:w="1387"/>
        <w:gridCol w:w="1995"/>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OMADA HEALTH,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Steve Cook</w:t>
            </w:r>
          </w:p>
        </w:tc>
      </w:tr>
      <w:tr>
        <w:trPr/>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Steve Cook</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(Duly Authorized Officer and Principal Financial Officer)</w:t>
            </w:r>
          </w:p>
        </w:tc>
      </w:tr>
    </w:tbl>
    <w:p>
      <w:pPr>
        <w:pStyle w:val="TextBody"/>
        <w:bidi w:val="0"/>
        <w:spacing w:before="0" w:after="240"/>
        <w:ind w:left="0" w:right="0" w:firstLine="45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lineRule="auto" w:line="288" w:before="0" w:after="0"/>
        <w:ind w:left="0" w:right="0" w:hanging="2"/>
        <w:jc w:val="center"/>
        <w:rPr>
          <w:rFonts w:ascii="Times New Roman;serif" w:hAnsi="Times New Roman;serif"/>
          <w:b/>
          <w:color w:val="000000"/>
          <w:sz w:val="24"/>
        </w:rPr>
      </w:pPr>
      <w:r>
        <w:rPr>
          <w:rFonts w:ascii="Times New Roman;serif" w:hAnsi="Times New Roman;serif"/>
          <w:b/>
          <w:color w:val="000000"/>
          <w:sz w:val="24"/>
        </w:rPr>
        <w:t>OMADA HEALTH, INC.</w:t>
      </w:r>
    </w:p>
    <w:p>
      <w:pPr>
        <w:pStyle w:val="TextBody"/>
        <w:bidi w:val="0"/>
        <w:spacing w:lineRule="auto" w:line="288" w:before="0" w:after="240"/>
        <w:ind w:left="0" w:right="0" w:hanging="2"/>
        <w:jc w:val="center"/>
        <w:rPr>
          <w:rFonts w:ascii="Times New Roman;serif" w:hAnsi="Times New Roman;serif"/>
          <w:b/>
          <w:color w:val="000000"/>
          <w:sz w:val="24"/>
        </w:rPr>
      </w:pPr>
      <w:r>
        <w:rPr>
          <w:rFonts w:ascii="Times New Roman;serif" w:hAnsi="Times New Roman;serif"/>
          <w:b/>
          <w:color w:val="000000"/>
          <w:sz w:val="24"/>
        </w:rPr>
        <w:t>NON-EMPLOYEE DIRECTOR COMPENSATION PROGRAM</w:t>
      </w:r>
    </w:p>
    <w:p>
      <w:pPr>
        <w:pStyle w:val="TextBody"/>
        <w:bidi w:val="0"/>
        <w:spacing w:lineRule="auto" w:line="288" w:before="0" w:after="240"/>
        <w:ind w:left="0" w:right="0" w:hanging="2"/>
        <w:jc w:val="center"/>
        <w:rPr>
          <w:rFonts w:ascii="Times New Roman;serif" w:hAnsi="Times New Roman;serif"/>
          <w:b w:val="false"/>
          <w:color w:val="000000"/>
          <w:sz w:val="24"/>
        </w:rPr>
      </w:pPr>
      <w:r>
        <w:rPr>
          <w:rFonts w:ascii="Times New Roman;serif" w:hAnsi="Times New Roman;serif"/>
          <w:b w:val="false"/>
          <w:color w:val="000000"/>
          <w:sz w:val="24"/>
        </w:rPr>
        <w:t>(As Amended March 26, 2026)</w:t>
      </w:r>
    </w:p>
    <w:p>
      <w:pPr>
        <w:pStyle w:val="TextBody"/>
        <w:bidi w:val="0"/>
        <w:spacing w:lineRule="auto" w:line="288" w:before="0" w:after="240"/>
        <w:ind w:left="0" w:right="0" w:hanging="2"/>
        <w:jc w:val="both"/>
        <w:rPr/>
      </w:pPr>
      <w:r>
        <w:rPr>
          <w:rFonts w:ascii="Times New Roman;serif" w:hAnsi="Times New Roman;serif"/>
          <w:b w:val="false"/>
          <w:color w:val="000000"/>
          <w:sz w:val="24"/>
        </w:rPr>
        <w:t>This Omada Health,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Non-Employee Director Compensation Program (this “</w:t>
      </w:r>
      <w:r>
        <w:rPr>
          <w:rFonts w:ascii="Times New Roman;serif" w:hAnsi="Times New Roman;serif"/>
          <w:b/>
          <w:i/>
          <w:color w:val="000000"/>
          <w:sz w:val="24"/>
        </w:rPr>
        <w:t>Program</w:t>
      </w:r>
      <w:r>
        <w:rPr>
          <w:color w:val="000000"/>
        </w:rPr>
        <w:t>”</w:t>
      </w:r>
      <w:r>
        <w:rPr>
          <w:rFonts w:ascii="Times New Roman;serif" w:hAnsi="Times New Roman;serif"/>
          <w:b w:val="false"/>
          <w:color w:val="000000"/>
          <w:sz w:val="24"/>
        </w:rPr>
        <w:t>) has been adopted under the Company’s 2025 Incentive Award Plan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and shall be effective as of the date set forth above. Capitalized terms not otherwise defined herein have the meaning ascribed in the Plan.</w:t>
      </w:r>
    </w:p>
    <w:p>
      <w:pPr>
        <w:pStyle w:val="TextBody"/>
        <w:bidi w:val="0"/>
        <w:spacing w:lineRule="auto" w:line="288" w:before="0" w:after="240"/>
        <w:ind w:left="0" w:right="0" w:hanging="2"/>
        <w:jc w:val="both"/>
        <w:rPr>
          <w:rFonts w:ascii="Times New Roman;serif" w:hAnsi="Times New Roman;serif"/>
          <w:b/>
          <w:i/>
          <w:color w:val="000000"/>
          <w:sz w:val="24"/>
        </w:rPr>
      </w:pPr>
      <w:r>
        <w:rPr>
          <w:rFonts w:ascii="Times New Roman;serif" w:hAnsi="Times New Roman;serif"/>
          <w:b/>
          <w:i/>
          <w:color w:val="000000"/>
          <w:sz w:val="24"/>
        </w:rPr>
        <w:t>Cash Compensation</w:t>
      </w:r>
    </w:p>
    <w:p>
      <w:pPr>
        <w:pStyle w:val="TextBody"/>
        <w:bidi w:val="0"/>
        <w:spacing w:lineRule="auto" w:line="288" w:before="0" w:after="240"/>
        <w:ind w:left="0" w:right="0" w:hanging="2"/>
        <w:jc w:val="both"/>
        <w:rPr>
          <w:rFonts w:ascii="Times New Roman;serif" w:hAnsi="Times New Roman;serif"/>
          <w:b w:val="false"/>
          <w:color w:val="000000"/>
          <w:sz w:val="24"/>
        </w:rPr>
      </w:pPr>
      <w:r>
        <w:rPr>
          <w:rFonts w:ascii="Times New Roman;serif" w:hAnsi="Times New Roman;serif"/>
          <w:b w:val="false"/>
          <w:color w:val="000000"/>
          <w:sz w:val="24"/>
        </w:rPr>
        <w:t>Effective as of the date set forth above, an annual retainer of $40,000 plus the additional following amounts will be paid to Non-Employee Directors:</w:t>
      </w:r>
    </w:p>
    <w:p>
      <w:pPr>
        <w:pStyle w:val="TextBody"/>
        <w:bidi w:val="0"/>
        <w:spacing w:lineRule="auto" w:line="288" w:before="0" w:after="0"/>
        <w:ind w:left="0" w:right="0" w:hanging="2"/>
        <w:jc w:val="left"/>
        <w:rPr>
          <w:rFonts w:ascii="Times New Roman;serif" w:hAnsi="Times New Roman;serif"/>
          <w:b w:val="false"/>
          <w:i/>
          <w:color w:val="000000"/>
          <w:sz w:val="24"/>
        </w:rPr>
      </w:pPr>
      <w:r>
        <w:rPr>
          <w:rFonts w:ascii="Times New Roman;serif" w:hAnsi="Times New Roman;serif"/>
          <w:b w:val="false"/>
          <w:i/>
          <w:color w:val="000000"/>
          <w:sz w:val="24"/>
        </w:rPr>
        <w:t>Additional Service</w:t>
      </w:r>
    </w:p>
    <w:tbl>
      <w:tblPr>
        <w:tblW w:w="7872" w:type="dxa"/>
        <w:jc w:val="left"/>
        <w:tblInd w:w="0" w:type="dxa"/>
        <w:tblLayout w:type="fixed"/>
        <w:tblCellMar>
          <w:top w:w="28" w:type="dxa"/>
          <w:left w:w="28" w:type="dxa"/>
          <w:bottom w:w="28" w:type="dxa"/>
          <w:right w:w="28" w:type="dxa"/>
        </w:tblCellMar>
      </w:tblPr>
      <w:tblGrid>
        <w:gridCol w:w="2106"/>
        <w:gridCol w:w="1853"/>
        <w:gridCol w:w="1860"/>
        <w:gridCol w:w="293"/>
        <w:gridCol w:w="293"/>
        <w:gridCol w:w="298"/>
        <w:gridCol w:w="342"/>
        <w:gridCol w:w="342"/>
        <w:gridCol w:w="485"/>
      </w:tblGrid>
      <w:tr>
        <w:trPr/>
        <w:tc>
          <w:tcPr>
            <w:tcW w:w="2106"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ind w:left="0" w:right="0" w:hanging="2"/>
              <w:jc w:val="left"/>
              <w:rPr/>
            </w:pPr>
            <w:r>
              <w:rPr/>
            </w:r>
          </w:p>
        </w:tc>
        <w:tc>
          <w:tcPr>
            <w:tcW w:w="8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2"/>
              <w:jc w:val="right"/>
              <w:rPr>
                <w:rFonts w:ascii="Times New Roman;serif" w:hAnsi="Times New Roman;serif"/>
                <w:b w:val="false"/>
                <w:color w:val="000000"/>
                <w:sz w:val="24"/>
              </w:rPr>
            </w:pPr>
            <w:r>
              <w:rPr>
                <w:rFonts w:ascii="Times New Roman;serif" w:hAnsi="Times New Roman;serif"/>
                <w:b w:val="false"/>
                <w:color w:val="000000"/>
                <w:sz w:val="24"/>
              </w:rPr>
              <w:t>Chair</w:t>
            </w:r>
          </w:p>
        </w:tc>
        <w:tc>
          <w:tcPr>
            <w:tcW w:w="11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2"/>
              <w:jc w:val="right"/>
              <w:rPr>
                <w:rFonts w:ascii="Times New Roman;serif" w:hAnsi="Times New Roman;serif"/>
                <w:b w:val="false"/>
                <w:color w:val="000000"/>
                <w:sz w:val="24"/>
              </w:rPr>
            </w:pPr>
            <w:r>
              <w:rPr>
                <w:rFonts w:ascii="Times New Roman;serif" w:hAnsi="Times New Roman;serif"/>
                <w:b w:val="false"/>
                <w:color w:val="000000"/>
                <w:sz w:val="24"/>
              </w:rPr>
              <w:t>Non-Chair</w:t>
            </w:r>
          </w:p>
        </w:tc>
      </w:tr>
      <w:tr>
        <w:trPr/>
        <w:tc>
          <w:tcPr>
            <w:tcW w:w="5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2"/>
              <w:jc w:val="left"/>
              <w:rPr>
                <w:rFonts w:ascii="Times New Roman;serif" w:hAnsi="Times New Roman;serif"/>
                <w:b w:val="false"/>
                <w:color w:val="000000"/>
                <w:sz w:val="24"/>
              </w:rPr>
            </w:pPr>
            <w:r>
              <w:rPr>
                <w:rFonts w:ascii="Times New Roman;serif" w:hAnsi="Times New Roman;serif"/>
                <w:b w:val="false"/>
                <w:color w:val="000000"/>
                <w:sz w:val="24"/>
              </w:rPr>
              <w:t>Chairperson of the Board</w:t>
            </w:r>
          </w:p>
        </w:tc>
        <w:tc>
          <w:tcPr>
            <w:tcW w:w="8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2"/>
              <w:jc w:val="right"/>
              <w:rPr>
                <w:rFonts w:ascii="Times New Roman;serif" w:hAnsi="Times New Roman;serif"/>
                <w:b w:val="false"/>
                <w:color w:val="000000"/>
                <w:sz w:val="24"/>
              </w:rPr>
            </w:pPr>
            <w:r>
              <w:rPr>
                <w:rFonts w:ascii="Times New Roman;serif" w:hAnsi="Times New Roman;serif"/>
                <w:b w:val="false"/>
                <w:color w:val="000000"/>
                <w:sz w:val="24"/>
              </w:rPr>
              <w:t>$45,000</w:t>
            </w:r>
          </w:p>
        </w:tc>
        <w:tc>
          <w:tcPr>
            <w:tcW w:w="11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2"/>
              <w:jc w:val="right"/>
              <w:rPr>
                <w:rFonts w:ascii="Times New Roman;serif" w:hAnsi="Times New Roman;serif"/>
                <w:b w:val="false"/>
                <w:color w:val="000000"/>
                <w:sz w:val="24"/>
              </w:rPr>
            </w:pPr>
            <w:r>
              <w:rPr>
                <w:rFonts w:ascii="Times New Roman;serif" w:hAnsi="Times New Roman;serif"/>
                <w:b w:val="false"/>
                <w:color w:val="000000"/>
                <w:sz w:val="24"/>
              </w:rPr>
              <w:t>N/A</w:t>
            </w:r>
          </w:p>
        </w:tc>
      </w:tr>
      <w:tr>
        <w:trPr/>
        <w:tc>
          <w:tcPr>
            <w:tcW w:w="5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2"/>
              <w:jc w:val="left"/>
              <w:rPr>
                <w:rFonts w:ascii="Times New Roman;serif" w:hAnsi="Times New Roman;serif"/>
                <w:b w:val="false"/>
                <w:color w:val="000000"/>
                <w:sz w:val="24"/>
              </w:rPr>
            </w:pPr>
            <w:r>
              <w:rPr>
                <w:rFonts w:ascii="Times New Roman;serif" w:hAnsi="Times New Roman;serif"/>
                <w:b w:val="false"/>
                <w:color w:val="000000"/>
                <w:sz w:val="24"/>
              </w:rPr>
              <w:t>Audit Committee Member</w:t>
            </w:r>
          </w:p>
        </w:tc>
        <w:tc>
          <w:tcPr>
            <w:tcW w:w="8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2"/>
              <w:jc w:val="right"/>
              <w:rPr>
                <w:rFonts w:ascii="Times New Roman;serif" w:hAnsi="Times New Roman;serif"/>
                <w:b w:val="false"/>
                <w:color w:val="000000"/>
                <w:sz w:val="24"/>
              </w:rPr>
            </w:pPr>
            <w:r>
              <w:rPr>
                <w:rFonts w:ascii="Times New Roman;serif" w:hAnsi="Times New Roman;serif"/>
                <w:b w:val="false"/>
                <w:color w:val="000000"/>
                <w:sz w:val="24"/>
              </w:rPr>
              <w:t>$20,000</w:t>
            </w:r>
          </w:p>
        </w:tc>
        <w:tc>
          <w:tcPr>
            <w:tcW w:w="11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2"/>
              <w:jc w:val="right"/>
              <w:rPr>
                <w:rFonts w:ascii="Times New Roman;serif" w:hAnsi="Times New Roman;serif"/>
                <w:b w:val="false"/>
                <w:color w:val="000000"/>
                <w:sz w:val="24"/>
              </w:rPr>
            </w:pPr>
            <w:r>
              <w:rPr>
                <w:rFonts w:ascii="Times New Roman;serif" w:hAnsi="Times New Roman;serif"/>
                <w:b w:val="false"/>
                <w:color w:val="000000"/>
                <w:sz w:val="24"/>
              </w:rPr>
              <w:t>$10,000</w:t>
            </w:r>
          </w:p>
        </w:tc>
      </w:tr>
      <w:tr>
        <w:trPr/>
        <w:tc>
          <w:tcPr>
            <w:tcW w:w="58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2"/>
              <w:jc w:val="left"/>
              <w:rPr>
                <w:rFonts w:ascii="Times New Roman;serif" w:hAnsi="Times New Roman;serif"/>
                <w:b w:val="false"/>
                <w:color w:val="000000"/>
                <w:sz w:val="24"/>
              </w:rPr>
            </w:pPr>
            <w:r>
              <w:rPr>
                <w:rFonts w:ascii="Times New Roman;serif" w:hAnsi="Times New Roman;serif"/>
                <w:b w:val="false"/>
                <w:color w:val="000000"/>
                <w:sz w:val="24"/>
              </w:rPr>
              <w:t>Compensation Committee Member</w:t>
            </w:r>
          </w:p>
        </w:tc>
        <w:tc>
          <w:tcPr>
            <w:tcW w:w="8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2"/>
              <w:jc w:val="right"/>
              <w:rPr>
                <w:rFonts w:ascii="Times New Roman;serif" w:hAnsi="Times New Roman;serif"/>
                <w:b w:val="false"/>
                <w:color w:val="000000"/>
                <w:sz w:val="24"/>
              </w:rPr>
            </w:pPr>
            <w:r>
              <w:rPr>
                <w:rFonts w:ascii="Times New Roman;serif" w:hAnsi="Times New Roman;serif"/>
                <w:b w:val="false"/>
                <w:color w:val="000000"/>
                <w:sz w:val="24"/>
              </w:rPr>
              <w:t>$15,000</w:t>
            </w:r>
          </w:p>
        </w:tc>
        <w:tc>
          <w:tcPr>
            <w:tcW w:w="11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2"/>
              <w:jc w:val="right"/>
              <w:rPr>
                <w:rFonts w:ascii="Times New Roman;serif" w:hAnsi="Times New Roman;serif"/>
                <w:b w:val="false"/>
                <w:color w:val="000000"/>
                <w:sz w:val="24"/>
              </w:rPr>
            </w:pPr>
            <w:r>
              <w:rPr>
                <w:rFonts w:ascii="Times New Roman;serif" w:hAnsi="Times New Roman;serif"/>
                <w:b w:val="false"/>
                <w:color w:val="000000"/>
                <w:sz w:val="24"/>
              </w:rPr>
              <w:t>$7,500</w:t>
            </w:r>
          </w:p>
        </w:tc>
      </w:tr>
      <w:tr>
        <w:trPr/>
        <w:tc>
          <w:tcPr>
            <w:tcW w:w="58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ind w:left="0" w:right="0" w:hanging="2"/>
              <w:jc w:val="left"/>
              <w:rPr>
                <w:rFonts w:ascii="Times New Roman;serif" w:hAnsi="Times New Roman;serif"/>
                <w:b w:val="false"/>
                <w:color w:val="000000"/>
                <w:sz w:val="24"/>
              </w:rPr>
            </w:pPr>
            <w:r>
              <w:rPr>
                <w:rFonts w:ascii="Times New Roman;serif" w:hAnsi="Times New Roman;serif"/>
                <w:b w:val="false"/>
                <w:color w:val="000000"/>
                <w:sz w:val="24"/>
              </w:rPr>
              <w:t>Nominating and Corporate Governance Committee Member</w:t>
            </w:r>
          </w:p>
        </w:tc>
        <w:tc>
          <w:tcPr>
            <w:tcW w:w="8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ind w:left="0" w:right="0" w:hanging="2"/>
              <w:jc w:val="right"/>
              <w:rPr>
                <w:rFonts w:ascii="Times New Roman;serif" w:hAnsi="Times New Roman;serif"/>
                <w:b w:val="false"/>
                <w:color w:val="000000"/>
                <w:sz w:val="24"/>
              </w:rPr>
            </w:pPr>
            <w:r>
              <w:rPr>
                <w:rFonts w:ascii="Times New Roman;serif" w:hAnsi="Times New Roman;serif"/>
                <w:b w:val="false"/>
                <w:color w:val="000000"/>
                <w:sz w:val="24"/>
              </w:rPr>
              <w:t>$10,000</w:t>
            </w:r>
          </w:p>
        </w:tc>
        <w:tc>
          <w:tcPr>
            <w:tcW w:w="116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ind w:left="0" w:right="0" w:hanging="2"/>
              <w:jc w:val="right"/>
              <w:rPr>
                <w:rFonts w:ascii="Times New Roman;serif" w:hAnsi="Times New Roman;serif"/>
                <w:b w:val="false"/>
                <w:color w:val="000000"/>
                <w:sz w:val="24"/>
              </w:rPr>
            </w:pPr>
            <w:r>
              <w:rPr>
                <w:rFonts w:ascii="Times New Roman;serif" w:hAnsi="Times New Roman;serif"/>
                <w:b w:val="false"/>
                <w:color w:val="000000"/>
                <w:sz w:val="24"/>
              </w:rPr>
              <w:t>$5,000</w:t>
            </w:r>
          </w:p>
        </w:tc>
      </w:tr>
    </w:tbl>
    <w:p>
      <w:pPr>
        <w:pStyle w:val="TextBody"/>
        <w:bidi w:val="0"/>
        <w:spacing w:before="0" w:after="0"/>
        <w:ind w:left="0" w:right="0" w:hanging="2"/>
        <w:jc w:val="both"/>
        <w:rPr/>
      </w:pPr>
      <w:r>
        <w:rPr/>
      </w:r>
    </w:p>
    <w:p>
      <w:pPr>
        <w:pStyle w:val="TextBody"/>
        <w:bidi w:val="0"/>
        <w:spacing w:lineRule="auto" w:line="288" w:before="0" w:after="240"/>
        <w:ind w:left="0" w:right="0" w:hanging="2"/>
        <w:jc w:val="both"/>
        <w:rPr>
          <w:rFonts w:ascii="Times New Roman;serif" w:hAnsi="Times New Roman;serif"/>
          <w:b w:val="false"/>
          <w:color w:val="000000"/>
          <w:sz w:val="24"/>
        </w:rPr>
      </w:pPr>
      <w:r>
        <w:rPr>
          <w:rFonts w:ascii="Times New Roman;serif" w:hAnsi="Times New Roman;serif"/>
          <w:b w:val="false"/>
          <w:color w:val="000000"/>
          <w:sz w:val="24"/>
        </w:rPr>
        <w:t>All annual retainers will be paid in cash quarterly in arrears promptly following the end of the applicable calendar quarter, but in no event more than 30 days after the end of such quarter. If a Non-Employee Director does not serve as a Non-Employee Director, or in the applicable positions described above, for an entire calendar quarter, the retainer paid to such Non-Employee Director will be prorated for the portion of such calendar quarter actually served as a Non-Employee Director, or in such position, as applicable.</w:t>
      </w:r>
    </w:p>
    <w:p>
      <w:pPr>
        <w:pStyle w:val="TextBody"/>
        <w:bidi w:val="0"/>
        <w:spacing w:before="0" w:after="0"/>
        <w:ind w:left="0" w:right="0" w:hanging="1"/>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0520"/>
                <wp:effectExtent l="0" t="0" r="0" b="0"/>
                <wp:wrapNone/>
                <wp:docPr id="88" name="Frame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ind w:left="0" w:right="0" w:hanging="2"/>
                              <w:jc w:val="left"/>
                              <w:rPr/>
                            </w:pPr>
                            <w:r>
                              <w:rPr/>
                            </w:r>
                            <w:r>
                              <w:br w:type="page"/>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left"/>
                        <w:rPr/>
                      </w:pPr>
                      <w:r>
                        <w:rPr/>
                      </w:r>
                    </w:p>
                    <w:p>
                      <w:pPr>
                        <w:pStyle w:val="TextBody"/>
                        <w:bidi w:val="0"/>
                        <w:spacing w:before="0" w:after="0"/>
                        <w:ind w:left="0" w:right="0" w:hanging="2"/>
                        <w:jc w:val="left"/>
                        <w:rPr/>
                      </w:pPr>
                      <w:r>
                        <w:rPr/>
                      </w:r>
                    </w:p>
                  </w:txbxContent>
                </v:textbox>
                <w10:wrap type="none"/>
              </v:rect>
            </w:pict>
          </mc:Fallback>
        </mc:AlternateContent>
      </w:r>
    </w:p>
    <w:p>
      <w:pPr>
        <w:pStyle w:val="TextBody"/>
        <w:bidi w:val="0"/>
        <w:spacing w:lineRule="auto" w:line="288" w:before="0" w:after="240"/>
        <w:ind w:left="0" w:right="0" w:hanging="2"/>
        <w:jc w:val="both"/>
        <w:rPr>
          <w:rFonts w:ascii="Times New Roman;serif" w:hAnsi="Times New Roman;serif"/>
          <w:b/>
          <w:i/>
          <w:color w:val="000000"/>
          <w:sz w:val="24"/>
        </w:rPr>
      </w:pPr>
      <w:r>
        <w:rPr>
          <w:rFonts w:ascii="Times New Roman;serif" w:hAnsi="Times New Roman;serif"/>
          <w:b/>
          <w:i/>
          <w:color w:val="000000"/>
          <w:sz w:val="24"/>
        </w:rPr>
        <w:t>Election to Receive Restricted Stock Units (“RSUs”) In Lieu of Annual Retainers</w:t>
      </w:r>
    </w:p>
    <w:tbl>
      <w:tblPr>
        <w:tblW w:w="10205" w:type="dxa"/>
        <w:jc w:val="left"/>
        <w:tblInd w:w="0" w:type="dxa"/>
        <w:tblLayout w:type="fixed"/>
        <w:tblCellMar>
          <w:top w:w="28" w:type="dxa"/>
          <w:left w:w="28" w:type="dxa"/>
          <w:bottom w:w="28" w:type="dxa"/>
          <w:right w:w="28" w:type="dxa"/>
        </w:tblCellMar>
      </w:tblPr>
      <w:tblGrid>
        <w:gridCol w:w="363"/>
        <w:gridCol w:w="308"/>
        <w:gridCol w:w="303"/>
        <w:gridCol w:w="2701"/>
        <w:gridCol w:w="2701"/>
        <w:gridCol w:w="3829"/>
      </w:tblGrid>
      <w:tr>
        <w:trPr/>
        <w:tc>
          <w:tcPr>
            <w:tcW w:w="36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2"/>
              <w:jc w:val="both"/>
              <w:rPr>
                <w:rFonts w:ascii="Times New Roman;serif" w:hAnsi="Times New Roman;serif"/>
                <w:b w:val="false"/>
                <w:color w:val="000000"/>
                <w:sz w:val="24"/>
              </w:rPr>
            </w:pPr>
            <w:r>
              <w:rPr>
                <w:rFonts w:ascii="Times New Roman;serif" w:hAnsi="Times New Roman;serif"/>
                <w:b w:val="false"/>
                <w:color w:val="000000"/>
                <w:sz w:val="24"/>
              </w:rPr>
              <w:t>General:</w:t>
            </w:r>
          </w:p>
        </w:tc>
        <w:tc>
          <w:tcPr>
            <w:tcW w:w="923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ind w:left="0" w:right="0" w:hanging="2"/>
              <w:jc w:val="both"/>
              <w:rPr/>
            </w:pPr>
            <w:r>
              <w:rPr>
                <w:rFonts w:ascii="Times New Roman;serif" w:hAnsi="Times New Roman;serif"/>
                <w:b w:val="false"/>
                <w:color w:val="000000"/>
                <w:sz w:val="24"/>
              </w:rPr>
              <w:t>The Board or its Compensation Committee (the “</w:t>
            </w:r>
            <w:r>
              <w:rPr>
                <w:rFonts w:ascii="Times New Roman;serif" w:hAnsi="Times New Roman;serif"/>
                <w:b/>
                <w:i/>
                <w:color w:val="000000"/>
                <w:sz w:val="24"/>
              </w:rPr>
              <w:t>Compensation Committee</w:t>
            </w:r>
            <w:r>
              <w:rPr>
                <w:color w:val="000000"/>
              </w:rPr>
              <w:t>”</w:t>
            </w:r>
            <w:r>
              <w:rPr>
                <w:rFonts w:ascii="Times New Roman;serif" w:hAnsi="Times New Roman;serif"/>
                <w:b w:val="false"/>
                <w:color w:val="000000"/>
                <w:sz w:val="24"/>
              </w:rPr>
              <w:t>) may, in its discretion, provide Non-Employee Directors with the opportunity to elect to convert all or a portion of their annual retainers into awards of RSUs (“</w:t>
            </w:r>
            <w:r>
              <w:rPr>
                <w:rFonts w:ascii="Times New Roman;serif" w:hAnsi="Times New Roman;serif"/>
                <w:b/>
                <w:i/>
                <w:color w:val="000000"/>
                <w:sz w:val="24"/>
              </w:rPr>
              <w:t>Retainer RSU Awards</w:t>
            </w:r>
            <w:r>
              <w:rPr>
                <w:color w:val="000000"/>
              </w:rPr>
              <w:t>”</w:t>
            </w:r>
            <w:r>
              <w:rPr>
                <w:rFonts w:ascii="Times New Roman;serif" w:hAnsi="Times New Roman;serif"/>
                <w:b w:val="false"/>
                <w:color w:val="000000"/>
                <w:sz w:val="24"/>
              </w:rPr>
              <w:t xml:space="preserve">) granted under the Plan or any other applicable Company equity incentive plan then-maintained by the Company, with each such Retainer RSU Award covering a number of shares of Common Stock calculated by dividing (i) the amount of the annual retainer that would have otherwise been paid to such Non-Employee Director on the applicable grant date by (ii) the average per share closing trading price of the Common Stock over the most recent 30 trading days as of the grant date;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however, that in no event will the average per share closing trading price be deemed to be less than $17.00 (such election, a “</w:t>
            </w:r>
            <w:r>
              <w:rPr>
                <w:rFonts w:ascii="Times New Roman;serif" w:hAnsi="Times New Roman;serif"/>
                <w:b/>
                <w:i/>
                <w:color w:val="000000"/>
                <w:sz w:val="24"/>
              </w:rPr>
              <w:t>Retainer RSU Election</w:t>
            </w:r>
            <w:r>
              <w:rPr>
                <w:color w:val="000000"/>
              </w:rPr>
              <w:t>”</w:t>
            </w:r>
            <w:r>
              <w:rPr>
                <w:rFonts w:ascii="Times New Roman;serif" w:hAnsi="Times New Roman;serif"/>
                <w:b w:val="false"/>
                <w:color w:val="000000"/>
                <w:sz w:val="24"/>
              </w:rPr>
              <w:t xml:space="preserve">). </w:t>
            </w:r>
          </w:p>
          <w:p>
            <w:pPr>
              <w:pStyle w:val="TableContents"/>
              <w:bidi w:val="0"/>
              <w:spacing w:lineRule="auto" w:line="288" w:before="0" w:after="240"/>
              <w:ind w:left="0" w:right="0" w:hanging="2"/>
              <w:jc w:val="both"/>
              <w:rPr>
                <w:rFonts w:ascii="Times New Roman;serif" w:hAnsi="Times New Roman;serif"/>
                <w:b w:val="false"/>
                <w:color w:val="000000"/>
                <w:sz w:val="24"/>
              </w:rPr>
            </w:pPr>
            <w:r>
              <w:rPr>
                <w:rFonts w:ascii="Times New Roman;serif" w:hAnsi="Times New Roman;serif"/>
                <w:b w:val="false"/>
                <w:color w:val="000000"/>
                <w:sz w:val="24"/>
              </w:rPr>
              <w:t>Each Retainer RSU Award automatically will be granted on the fifth day of the month immediately following the end of the quarter for which the corresponding portion of the annual retainer was earned. Each Retainer RSU Award will be fully vested on the grant date.</w:t>
            </w:r>
          </w:p>
        </w:tc>
      </w:tr>
      <w:tr>
        <w:trPr/>
        <w:tc>
          <w:tcPr>
            <w:tcW w:w="9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ind w:left="0" w:right="0" w:hanging="2"/>
              <w:jc w:val="both"/>
              <w:rPr>
                <w:rFonts w:ascii="Times New Roman;serif" w:hAnsi="Times New Roman;serif"/>
                <w:b w:val="false"/>
                <w:color w:val="000000"/>
                <w:sz w:val="24"/>
              </w:rPr>
            </w:pPr>
            <w:r>
              <w:rPr>
                <w:rFonts w:ascii="Times New Roman;serif" w:hAnsi="Times New Roman;serif"/>
                <w:b w:val="false"/>
                <w:color w:val="000000"/>
                <w:sz w:val="24"/>
              </w:rPr>
              <w:t>Election Method:</w:t>
            </w:r>
          </w:p>
        </w:tc>
        <w:tc>
          <w:tcPr>
            <w:tcW w:w="923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ind w:left="0" w:right="0" w:hanging="2"/>
              <w:jc w:val="both"/>
              <w:rPr>
                <w:rFonts w:ascii="Times New Roman;serif" w:hAnsi="Times New Roman;serif"/>
                <w:b w:val="false"/>
                <w:color w:val="000000"/>
                <w:sz w:val="24"/>
              </w:rPr>
            </w:pPr>
            <w:r>
              <w:rPr>
                <w:rFonts w:ascii="Times New Roman;serif" w:hAnsi="Times New Roman;serif"/>
                <w:b w:val="false"/>
                <w:color w:val="000000"/>
                <w:sz w:val="24"/>
              </w:rPr>
              <w:t>Each Retainer RSU Election must be submitted to the Company in the form and manner specified by the Board or the Compensation Committee. An individual who fails to make a timely Retainer RSU Election will not receive a Retainer RSU Award and instead will receive the applicable annual retainer in cash. Retainer RSU Elections must comply with the following timing requirements:</w:t>
            </w:r>
          </w:p>
          <w:p>
            <w:pPr>
              <w:pStyle w:val="TableContents"/>
              <w:bidi w:val="0"/>
              <w:spacing w:lineRule="auto" w:line="288" w:before="121" w:after="283"/>
              <w:ind w:left="0" w:right="0" w:hanging="2"/>
              <w:jc w:val="both"/>
              <w:rPr/>
            </w:pPr>
            <w:r>
              <w:rPr>
                <w:color w:val="000000"/>
              </w:rPr>
              <w:t>●</w:t>
            </w:r>
            <w:r>
              <w:rPr>
                <w:rFonts w:ascii="Times New Roman;serif" w:hAnsi="Times New Roman;serif"/>
                <w:b w:val="false"/>
                <w:color w:val="000000"/>
                <w:sz w:val="24"/>
                <w:u w:val="single"/>
              </w:rPr>
              <w:t>Initial Election</w:t>
            </w:r>
            <w:r>
              <w:rPr>
                <w:rFonts w:ascii="Times New Roman;serif" w:hAnsi="Times New Roman;serif"/>
                <w:b w:val="false"/>
                <w:color w:val="000000"/>
                <w:sz w:val="24"/>
              </w:rPr>
              <w:t>. Each individual who first becomes a Non-Employee Director may make a Retainer RSU Election with respect to annual retainer payments scheduled to be paid in the same calendar year as such individual first becomes a Non-Employee Director (the “</w:t>
            </w:r>
            <w:r>
              <w:rPr>
                <w:rFonts w:ascii="Times New Roman;serif" w:hAnsi="Times New Roman;serif"/>
                <w:b/>
                <w:i/>
                <w:color w:val="000000"/>
                <w:sz w:val="24"/>
              </w:rPr>
              <w:t>Initial Retainer RSU Election</w:t>
            </w:r>
            <w:r>
              <w:rPr>
                <w:color w:val="000000"/>
              </w:rPr>
              <w:t>”</w:t>
            </w:r>
            <w:r>
              <w:rPr>
                <w:rFonts w:ascii="Times New Roman;serif" w:hAnsi="Times New Roman;serif"/>
                <w:b w:val="false"/>
                <w:color w:val="000000"/>
                <w:sz w:val="24"/>
              </w:rPr>
              <w:t>). The Initial Retainer RSU Election must be submitted to the Company on or before the date that the individual first becomes a Non-Employee Director (the “</w:t>
            </w:r>
            <w:r>
              <w:rPr>
                <w:rFonts w:ascii="Times New Roman;serif" w:hAnsi="Times New Roman;serif"/>
                <w:b/>
                <w:i/>
                <w:color w:val="000000"/>
                <w:sz w:val="24"/>
              </w:rPr>
              <w:t>Initial Election Deadline</w:t>
            </w:r>
            <w:r>
              <w:rPr>
                <w:color w:val="000000"/>
              </w:rPr>
              <w:t>”</w:t>
            </w:r>
            <w:r>
              <w:rPr>
                <w:rFonts w:ascii="Times New Roman;serif" w:hAnsi="Times New Roman;serif"/>
                <w:b w:val="false"/>
                <w:color w:val="000000"/>
                <w:sz w:val="24"/>
              </w:rPr>
              <w:t>), and the Initial Retainer RSU Election will become final and irrevocable as of the Initial Election Deadline.</w:t>
            </w:r>
          </w:p>
          <w:p>
            <w:pPr>
              <w:pStyle w:val="TableContents"/>
              <w:bidi w:val="0"/>
              <w:spacing w:lineRule="auto" w:line="288" w:before="138" w:after="283"/>
              <w:ind w:left="0" w:right="0" w:hanging="2"/>
              <w:jc w:val="both"/>
              <w:rPr/>
            </w:pPr>
            <w:r>
              <w:rPr>
                <w:color w:val="000000"/>
              </w:rPr>
              <w:t>●</w:t>
            </w:r>
            <w:r>
              <w:rPr>
                <w:rFonts w:ascii="Times New Roman;serif" w:hAnsi="Times New Roman;serif"/>
                <w:b w:val="false"/>
                <w:color w:val="000000"/>
                <w:sz w:val="24"/>
                <w:u w:val="single"/>
              </w:rPr>
              <w:t>Annual Election</w:t>
            </w:r>
            <w:r>
              <w:rPr>
                <w:rFonts w:ascii="Times New Roman;serif" w:hAnsi="Times New Roman;serif"/>
                <w:b w:val="false"/>
                <w:color w:val="000000"/>
                <w:sz w:val="24"/>
              </w:rPr>
              <w:t>. No later than December 31 of each calendar year, or such other deadline as may be established by the Board or the Compensation Committee, in its discretion (the “</w:t>
            </w:r>
            <w:r>
              <w:rPr>
                <w:rFonts w:ascii="Times New Roman;serif" w:hAnsi="Times New Roman;serif"/>
                <w:b/>
                <w:i/>
                <w:color w:val="000000"/>
                <w:sz w:val="24"/>
              </w:rPr>
              <w:t>Annual Election Deadline</w:t>
            </w:r>
            <w:r>
              <w:rPr>
                <w:color w:val="000000"/>
              </w:rPr>
              <w:t>”</w:t>
            </w:r>
            <w:r>
              <w:rPr>
                <w:rFonts w:ascii="Times New Roman;serif" w:hAnsi="Times New Roman;serif"/>
                <w:b w:val="false"/>
                <w:color w:val="000000"/>
                <w:sz w:val="24"/>
              </w:rPr>
              <w:t>), each individual who is a Non-Employee Director as of immediately before the Annual Election Deadline may make a Retainer RSU Election with respect to the annual retainer relating to services to be performed in the following calendar year (the “</w:t>
            </w:r>
            <w:r>
              <w:rPr>
                <w:rFonts w:ascii="Times New Roman;serif" w:hAnsi="Times New Roman;serif"/>
                <w:b/>
                <w:i/>
                <w:color w:val="000000"/>
                <w:sz w:val="24"/>
              </w:rPr>
              <w:t>Annual Retainer RSU Election</w:t>
            </w:r>
            <w:r>
              <w:rPr>
                <w:color w:val="000000"/>
              </w:rPr>
              <w:t>”</w:t>
            </w:r>
            <w:r>
              <w:rPr>
                <w:rFonts w:ascii="Times New Roman;serif" w:hAnsi="Times New Roman;serif"/>
                <w:b w:val="false"/>
                <w:color w:val="000000"/>
                <w:sz w:val="24"/>
              </w:rPr>
              <w:t xml:space="preserve">). The Annual Retainer RSU Election must be submitted to the Company on or before the applicable Annual Election Deadline and will become effective and irrevocable as of the Annual Election Deadline. </w:t>
            </w:r>
          </w:p>
        </w:tc>
      </w:tr>
    </w:tbl>
    <w:p>
      <w:pPr>
        <w:pStyle w:val="TextBody"/>
        <w:bidi w:val="0"/>
        <w:spacing w:before="0" w:after="0"/>
        <w:ind w:left="0" w:right="0" w:hanging="1"/>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88620"/>
                <wp:effectExtent l="0" t="0" r="0" b="0"/>
                <wp:wrapNone/>
                <wp:docPr id="89" name="Frame89"/>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ind w:left="0" w:right="0" w:hanging="2"/>
                              <w:jc w:val="center"/>
                              <w:rPr>
                                <w:rFonts w:ascii="sans-serif" w:hAnsi="sans-serif"/>
                                <w:b w:val="false"/>
                                <w:color w:val="000000"/>
                                <w:sz w:val="24"/>
                              </w:rPr>
                            </w:pPr>
                            <w:r>
                              <w:rPr>
                                <w:rFonts w:ascii="sans-serif" w:hAnsi="sans-serif"/>
                                <w:b w:val="false"/>
                                <w:color w:val="000000"/>
                                <w:sz w:val="24"/>
                              </w:rPr>
                              <w:t>2</w:t>
                            </w:r>
                            <w:r>
                              <w:br w:type="page"/>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2"/>
                        <w:jc w:val="center"/>
                        <w:rPr>
                          <w:rFonts w:ascii="sans-serif" w:hAnsi="sans-serif"/>
                          <w:b w:val="false"/>
                          <w:color w:val="000000"/>
                          <w:sz w:val="24"/>
                        </w:rPr>
                      </w:pPr>
                      <w:r>
                        <w:rPr>
                          <w:rFonts w:ascii="sans-serif" w:hAnsi="sans-serif"/>
                          <w:b w:val="false"/>
                          <w:color w:val="000000"/>
                          <w:sz w:val="24"/>
                        </w:rPr>
                        <w:t>2</w:t>
                      </w:r>
                    </w:p>
                    <w:p>
                      <w:pPr>
                        <w:pStyle w:val="TextBody"/>
                        <w:bidi w:val="0"/>
                        <w:spacing w:before="0" w:after="0"/>
                        <w:ind w:left="0" w:right="0" w:hanging="2"/>
                        <w:jc w:val="left"/>
                        <w:rPr/>
                      </w:pPr>
                      <w:r>
                        <w:rPr/>
                      </w:r>
                    </w:p>
                  </w:txbxContent>
                </v:textbox>
                <w10:wrap type="none"/>
              </v:rect>
            </w:pict>
          </mc:Fallback>
        </mc:AlternateContent>
      </w:r>
    </w:p>
    <w:p>
      <w:pPr>
        <w:pStyle w:val="TextBody"/>
        <w:bidi w:val="0"/>
        <w:spacing w:before="240" w:after="240"/>
        <w:ind w:left="0" w:right="0" w:hanging="2"/>
        <w:jc w:val="both"/>
        <w:rPr/>
      </w:pPr>
      <w:r>
        <w:rPr/>
      </w:r>
    </w:p>
    <w:p>
      <w:pPr>
        <w:pStyle w:val="TextBody"/>
        <w:bidi w:val="0"/>
        <w:spacing w:lineRule="auto" w:line="288" w:before="240" w:after="283"/>
        <w:ind w:left="0" w:right="0" w:hanging="2"/>
        <w:jc w:val="both"/>
        <w:rPr>
          <w:rFonts w:ascii="Times New Roman;serif" w:hAnsi="Times New Roman;serif"/>
          <w:b/>
          <w:i/>
          <w:color w:val="000000"/>
          <w:sz w:val="24"/>
        </w:rPr>
      </w:pPr>
      <w:r>
        <w:rPr>
          <w:rFonts w:ascii="Times New Roman;serif" w:hAnsi="Times New Roman;serif"/>
          <w:b/>
          <w:i/>
          <w:color w:val="000000"/>
          <w:sz w:val="24"/>
        </w:rPr>
        <w:t>Equity Compensation</w:t>
      </w:r>
    </w:p>
    <w:tbl>
      <w:tblPr>
        <w:tblW w:w="10205" w:type="dxa"/>
        <w:jc w:val="left"/>
        <w:tblInd w:w="0" w:type="dxa"/>
        <w:tblLayout w:type="fixed"/>
        <w:tblCellMar>
          <w:top w:w="28" w:type="dxa"/>
          <w:left w:w="28" w:type="dxa"/>
          <w:bottom w:w="28" w:type="dxa"/>
          <w:right w:w="28" w:type="dxa"/>
        </w:tblCellMar>
      </w:tblPr>
      <w:tblGrid>
        <w:gridCol w:w="369"/>
        <w:gridCol w:w="288"/>
        <w:gridCol w:w="290"/>
        <w:gridCol w:w="2709"/>
        <w:gridCol w:w="2709"/>
        <w:gridCol w:w="3840"/>
      </w:tblGrid>
      <w:tr>
        <w:trPr/>
        <w:tc>
          <w:tcPr>
            <w:tcW w:w="36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3840" w:type="dxa"/>
            <w:tcBorders/>
            <w:vAlign w:val="center"/>
          </w:tcPr>
          <w:p>
            <w:pPr>
              <w:pStyle w:val="TableContents"/>
              <w:bidi w:val="0"/>
              <w:spacing w:before="0" w:after="283"/>
              <w:jc w:val="left"/>
              <w:rPr>
                <w:sz w:val="4"/>
                <w:szCs w:val="4"/>
              </w:rPr>
            </w:pPr>
            <w:r>
              <w:rPr>
                <w:sz w:val="4"/>
                <w:szCs w:val="4"/>
              </w:rPr>
            </w:r>
          </w:p>
        </w:tc>
      </w:tr>
      <w:tr>
        <w:trPr/>
        <w:tc>
          <w:tcPr>
            <w:tcW w:w="9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2"/>
              <w:jc w:val="left"/>
              <w:rPr>
                <w:rFonts w:ascii="Times New Roman;serif" w:hAnsi="Times New Roman;serif"/>
                <w:b w:val="false"/>
                <w:color w:val="000000"/>
                <w:sz w:val="24"/>
              </w:rPr>
            </w:pPr>
            <w:r>
              <w:rPr>
                <w:rFonts w:ascii="Times New Roman;serif" w:hAnsi="Times New Roman;serif"/>
                <w:b w:val="false"/>
                <w:color w:val="000000"/>
                <w:sz w:val="24"/>
              </w:rPr>
              <w:t>Initial RSU Award:</w:t>
            </w:r>
          </w:p>
        </w:tc>
        <w:tc>
          <w:tcPr>
            <w:tcW w:w="92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ind w:left="0" w:right="0" w:hanging="2"/>
              <w:jc w:val="both"/>
              <w:rPr/>
            </w:pPr>
            <w:r>
              <w:rPr>
                <w:rFonts w:ascii="Times New Roman;serif" w:hAnsi="Times New Roman;serif"/>
                <w:b w:val="false"/>
                <w:color w:val="000000"/>
                <w:sz w:val="24"/>
              </w:rPr>
              <w:t xml:space="preserve">Unless otherwise approved by the Board prior to commencement of services of an applicable Non-Employee Director, each Non-Employee Director who is initially elected or appointed to serve on the Board will be granted an award of RSUs under the Plan or any other applicable Company equity incentive plan then-maintained by the Company covering a number of shares of Common Stock calculated by dividing (i) $370,000 by (ii) the average per share closing trading price of the Common Stock over the 30 consecutive trading days ending on the last trading day preceding the grant date;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however, that in no event will the average per share closing trading price be deemed to be less than $17.00 (the “</w:t>
            </w:r>
            <w:r>
              <w:rPr>
                <w:rFonts w:ascii="Times New Roman;serif" w:hAnsi="Times New Roman;serif"/>
                <w:b/>
                <w:i/>
                <w:color w:val="000000"/>
                <w:sz w:val="24"/>
              </w:rPr>
              <w:t>Initial RSU Award</w:t>
            </w:r>
            <w:r>
              <w:rPr>
                <w:color w:val="000000"/>
              </w:rPr>
              <w:t>”</w:t>
            </w:r>
            <w:r>
              <w:rPr>
                <w:rFonts w:ascii="Times New Roman;serif" w:hAnsi="Times New Roman;serif"/>
                <w:b w:val="false"/>
                <w:color w:val="000000"/>
                <w:sz w:val="24"/>
              </w:rPr>
              <w:t>).</w:t>
            </w:r>
          </w:p>
          <w:p>
            <w:pPr>
              <w:pStyle w:val="TableContents"/>
              <w:bidi w:val="0"/>
              <w:spacing w:lineRule="auto" w:line="288" w:before="0" w:after="240"/>
              <w:ind w:left="0" w:right="0" w:hanging="2"/>
              <w:jc w:val="both"/>
              <w:rPr>
                <w:rFonts w:ascii="Times New Roman;serif" w:hAnsi="Times New Roman;serif"/>
                <w:b w:val="false"/>
                <w:color w:val="000000"/>
                <w:sz w:val="24"/>
              </w:rPr>
            </w:pPr>
            <w:r>
              <w:rPr>
                <w:rFonts w:ascii="Times New Roman;serif" w:hAnsi="Times New Roman;serif"/>
                <w:b w:val="false"/>
                <w:color w:val="000000"/>
                <w:sz w:val="24"/>
              </w:rPr>
              <w:t>The Initial RSU Award will be automatically granted on the date on which such Non-Employee Director commences service on the Board, and will vest as to one-third of the shares subject thereto on each of the first three anniversaries of the applicable grant date such that the shares subject to the Initial RSU Award will be fully vested on the third anniversary of the grant date, subject to the Non-Employee Director continuing in service on the Board through the applicable vesting date.</w:t>
            </w:r>
          </w:p>
        </w:tc>
      </w:tr>
      <w:tr>
        <w:trPr/>
        <w:tc>
          <w:tcPr>
            <w:tcW w:w="9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ind w:left="0" w:right="0" w:hanging="2"/>
              <w:jc w:val="left"/>
              <w:rPr>
                <w:rFonts w:ascii="Times New Roman;serif" w:hAnsi="Times New Roman;serif"/>
                <w:b w:val="false"/>
                <w:color w:val="000000"/>
                <w:sz w:val="24"/>
              </w:rPr>
            </w:pPr>
            <w:r>
              <w:rPr>
                <w:rFonts w:ascii="Times New Roman;serif" w:hAnsi="Times New Roman;serif"/>
                <w:b w:val="false"/>
                <w:color w:val="000000"/>
                <w:sz w:val="24"/>
              </w:rPr>
              <w:t>Annual RSU Award:</w:t>
            </w:r>
          </w:p>
        </w:tc>
        <w:tc>
          <w:tcPr>
            <w:tcW w:w="925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ind w:left="0" w:right="0" w:hanging="2"/>
              <w:jc w:val="both"/>
              <w:rPr/>
            </w:pPr>
            <w:r>
              <w:rPr>
                <w:rFonts w:ascii="Times New Roman;serif" w:hAnsi="Times New Roman;serif"/>
                <w:b w:val="false"/>
                <w:color w:val="000000"/>
                <w:sz w:val="24"/>
              </w:rPr>
              <w:t>Each Non-Employee Director who (i) has been serving on the Board as of the date of an annual meeting of the Company’s stockholders (each, an “</w:t>
            </w:r>
            <w:r>
              <w:rPr>
                <w:rFonts w:ascii="Times New Roman;serif" w:hAnsi="Times New Roman;serif"/>
                <w:b/>
                <w:i/>
                <w:color w:val="000000"/>
                <w:sz w:val="24"/>
              </w:rPr>
              <w:t>Annual Meeting</w:t>
            </w:r>
            <w:r>
              <w:rPr>
                <w:color w:val="000000"/>
              </w:rPr>
              <w:t>”</w:t>
            </w:r>
            <w:r>
              <w:rPr>
                <w:rFonts w:ascii="Times New Roman;serif" w:hAnsi="Times New Roman;serif"/>
                <w:b w:val="false"/>
                <w:color w:val="000000"/>
                <w:sz w:val="24"/>
              </w:rPr>
              <w:t xml:space="preserve">) for at least six months prior to the date of such Annual Meeting and (ii) will continue to serve as a Non-Employee Director immediately following such Annual Meeting, will be granted an award of RSUs under the Plan or any other applicable Company equity incentive plan then-maintained by the Company covering a number of shares of Common Stock calculated by dividing (i) $185,000 by (ii) the average per share closing trading price of the Common Stock over the 30 consecutive trading days ending on the last trading day preceding the grant date;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however, that in no event will the average per share closing trading price be deemed to be less than $17.00 (the “</w:t>
            </w:r>
            <w:r>
              <w:rPr>
                <w:rFonts w:ascii="Times New Roman;serif" w:hAnsi="Times New Roman;serif"/>
                <w:b/>
                <w:i/>
                <w:color w:val="000000"/>
                <w:sz w:val="24"/>
              </w:rPr>
              <w:t>Annual RSU Award</w:t>
            </w:r>
            <w:r>
              <w:rPr>
                <w:color w:val="000000"/>
              </w:rPr>
              <w:t>”</w:t>
            </w:r>
            <w:r>
              <w:rPr>
                <w:rFonts w:ascii="Times New Roman;serif" w:hAnsi="Times New Roman;serif"/>
                <w:b w:val="false"/>
                <w:color w:val="000000"/>
                <w:sz w:val="24"/>
              </w:rPr>
              <w:t xml:space="preserve">). </w:t>
            </w:r>
          </w:p>
          <w:p>
            <w:pPr>
              <w:pStyle w:val="TableContents"/>
              <w:bidi w:val="0"/>
              <w:spacing w:lineRule="auto" w:line="288" w:before="0" w:after="240"/>
              <w:ind w:left="0" w:right="0" w:hanging="2"/>
              <w:jc w:val="both"/>
              <w:rPr>
                <w:rFonts w:ascii="Times New Roman;serif" w:hAnsi="Times New Roman;serif"/>
                <w:b w:val="false"/>
                <w:color w:val="000000"/>
                <w:sz w:val="24"/>
              </w:rPr>
            </w:pPr>
            <w:r>
              <w:rPr>
                <w:rFonts w:ascii="Times New Roman;serif" w:hAnsi="Times New Roman;serif"/>
                <w:b w:val="false"/>
                <w:color w:val="000000"/>
                <w:sz w:val="24"/>
              </w:rPr>
              <w:t>The Annual RSU Award will be automatically granted on the date of the applicable Annual Meeting, and will vest in full on the earlier of (i) the first anniversary of the grant date and (ii) immediately before the first Annual Meeting following the grant date, subject to the Non-Employee Director continuing in service on the Board through such vesting date.</w:t>
            </w:r>
          </w:p>
        </w:tc>
      </w:tr>
    </w:tbl>
    <w:p>
      <w:pPr>
        <w:pStyle w:val="TextBody"/>
        <w:bidi w:val="0"/>
        <w:spacing w:before="240" w:after="240"/>
        <w:ind w:left="0" w:right="0" w:hanging="2"/>
        <w:jc w:val="both"/>
        <w:rPr/>
      </w:pPr>
      <w:r>
        <w:rPr/>
      </w:r>
    </w:p>
    <w:p>
      <w:pPr>
        <w:pStyle w:val="TextBody"/>
        <w:bidi w:val="0"/>
        <w:spacing w:before="240" w:after="240"/>
        <w:ind w:left="0" w:right="0" w:hanging="2"/>
        <w:jc w:val="both"/>
        <w:rPr/>
      </w:pPr>
      <w:r>
        <w:rPr/>
      </w:r>
    </w:p>
    <w:p>
      <w:pPr>
        <w:pStyle w:val="TextBody"/>
        <w:bidi w:val="0"/>
        <w:spacing w:before="240" w:after="240"/>
        <w:ind w:left="0" w:right="0" w:hanging="2"/>
        <w:jc w:val="both"/>
        <w:rPr/>
      </w:pPr>
      <w:r>
        <w:rPr/>
      </w:r>
    </w:p>
    <w:p>
      <w:pPr>
        <w:pStyle w:val="TextBody"/>
        <w:bidi w:val="0"/>
        <w:spacing w:before="240" w:after="240"/>
        <w:ind w:left="0" w:right="0" w:hanging="2"/>
        <w:jc w:val="both"/>
        <w:rPr/>
      </w:pPr>
      <w:r>
        <w:rPr/>
      </w:r>
    </w:p>
    <w:p>
      <w:pPr>
        <w:pStyle w:val="TextBody"/>
        <w:bidi w:val="0"/>
        <w:spacing w:before="0" w:after="0"/>
        <w:ind w:left="0" w:right="0" w:hanging="1"/>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88620"/>
                <wp:effectExtent l="0" t="0" r="0" b="0"/>
                <wp:wrapNone/>
                <wp:docPr id="90" name="Frame90"/>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ind w:left="0" w:right="0" w:hanging="2"/>
                              <w:jc w:val="center"/>
                              <w:rPr>
                                <w:rFonts w:ascii="sans-serif" w:hAnsi="sans-serif"/>
                                <w:b w:val="false"/>
                                <w:color w:val="000000"/>
                                <w:sz w:val="24"/>
                              </w:rPr>
                            </w:pPr>
                            <w:r>
                              <w:rPr>
                                <w:rFonts w:ascii="sans-serif" w:hAnsi="sans-serif"/>
                                <w:b w:val="false"/>
                                <w:color w:val="000000"/>
                                <w:sz w:val="24"/>
                              </w:rPr>
                              <w:t>3</w:t>
                            </w:r>
                            <w:r>
                              <w:br w:type="page"/>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2"/>
                        <w:jc w:val="center"/>
                        <w:rPr>
                          <w:rFonts w:ascii="sans-serif" w:hAnsi="sans-serif"/>
                          <w:b w:val="false"/>
                          <w:color w:val="000000"/>
                          <w:sz w:val="24"/>
                        </w:rPr>
                      </w:pPr>
                      <w:r>
                        <w:rPr>
                          <w:rFonts w:ascii="sans-serif" w:hAnsi="sans-serif"/>
                          <w:b w:val="false"/>
                          <w:color w:val="000000"/>
                          <w:sz w:val="24"/>
                        </w:rPr>
                        <w:t>3</w:t>
                      </w:r>
                    </w:p>
                    <w:p>
                      <w:pPr>
                        <w:pStyle w:val="TextBody"/>
                        <w:bidi w:val="0"/>
                        <w:spacing w:before="0" w:after="0"/>
                        <w:ind w:left="0" w:right="0" w:hanging="2"/>
                        <w:jc w:val="left"/>
                        <w:rPr/>
                      </w:pPr>
                      <w:r>
                        <w:rPr/>
                      </w:r>
                    </w:p>
                  </w:txbxContent>
                </v:textbox>
                <w10:wrap type="none"/>
              </v:rect>
            </w:pict>
          </mc:Fallback>
        </mc:AlternateContent>
      </w:r>
    </w:p>
    <w:p>
      <w:pPr>
        <w:pStyle w:val="TextBody"/>
        <w:bidi w:val="0"/>
        <w:spacing w:lineRule="auto" w:line="288" w:before="240" w:after="240"/>
        <w:ind w:left="0" w:right="0" w:hanging="2"/>
        <w:jc w:val="both"/>
        <w:rPr>
          <w:rFonts w:ascii="Times New Roman;serif" w:hAnsi="Times New Roman;serif"/>
          <w:b/>
          <w:i/>
          <w:color w:val="000000"/>
          <w:sz w:val="24"/>
        </w:rPr>
      </w:pPr>
      <w:r>
        <w:rPr>
          <w:rFonts w:ascii="Times New Roman;serif" w:hAnsi="Times New Roman;serif"/>
          <w:b/>
          <w:i/>
          <w:color w:val="000000"/>
          <w:sz w:val="24"/>
        </w:rPr>
        <w:t>Election to Defer Issuances</w:t>
      </w:r>
    </w:p>
    <w:tbl>
      <w:tblPr>
        <w:tblW w:w="10205" w:type="dxa"/>
        <w:jc w:val="left"/>
        <w:tblInd w:w="0" w:type="dxa"/>
        <w:tblLayout w:type="fixed"/>
        <w:tblCellMar>
          <w:top w:w="28" w:type="dxa"/>
          <w:left w:w="28" w:type="dxa"/>
          <w:bottom w:w="28" w:type="dxa"/>
          <w:right w:w="28" w:type="dxa"/>
        </w:tblCellMar>
      </w:tblPr>
      <w:tblGrid>
        <w:gridCol w:w="357"/>
        <w:gridCol w:w="302"/>
        <w:gridCol w:w="297"/>
        <w:gridCol w:w="2703"/>
        <w:gridCol w:w="2703"/>
        <w:gridCol w:w="3843"/>
      </w:tblGrid>
      <w:tr>
        <w:trPr/>
        <w:tc>
          <w:tcPr>
            <w:tcW w:w="35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3843"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2"/>
              <w:jc w:val="left"/>
              <w:rPr>
                <w:rFonts w:ascii="Times New Roman;serif" w:hAnsi="Times New Roman;serif"/>
                <w:b w:val="false"/>
                <w:color w:val="000000"/>
                <w:sz w:val="24"/>
              </w:rPr>
            </w:pPr>
            <w:r>
              <w:rPr>
                <w:rFonts w:ascii="Times New Roman;serif" w:hAnsi="Times New Roman;serif"/>
                <w:b w:val="false"/>
                <w:color w:val="000000"/>
                <w:sz w:val="24"/>
              </w:rPr>
              <w:t>General:</w:t>
            </w:r>
          </w:p>
        </w:tc>
        <w:tc>
          <w:tcPr>
            <w:tcW w:w="9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ind w:left="0" w:right="0" w:hanging="2"/>
              <w:jc w:val="both"/>
              <w:rPr/>
            </w:pPr>
            <w:r>
              <w:rPr>
                <w:rFonts w:ascii="Times New Roman;serif" w:hAnsi="Times New Roman;serif"/>
                <w:b w:val="false"/>
                <w:color w:val="000000"/>
                <w:sz w:val="24"/>
              </w:rPr>
              <w:t>Each Non-Employee Director shall have the opportunity to defer the issuance of the shares underlying RSUs granted under this Program (including, for clarity, Retainer RSUs, Initial RSU Awards and Annual RSU Awards) that would otherwise be issued to the Non-Employee Director in connection with the vesting or grant of the RSUs (including, for clarity, the Retainer RSU Awards, Initial RSU Awards and Annual RSU Awards) until the earliest of a fixed date properly elected by the Non-Employee Director, the Non-Employee Director’s Termination of Service or a Change in Control. Any such deferral election (“</w:t>
            </w:r>
            <w:r>
              <w:rPr>
                <w:rFonts w:ascii="Times New Roman;serif" w:hAnsi="Times New Roman;serif"/>
                <w:b/>
                <w:i/>
                <w:color w:val="000000"/>
                <w:sz w:val="24"/>
              </w:rPr>
              <w:t>Deferral Election</w:t>
            </w:r>
            <w:r>
              <w:rPr>
                <w:color w:val="000000"/>
              </w:rPr>
              <w:t>”</w:t>
            </w:r>
            <w:r>
              <w:rPr>
                <w:rFonts w:ascii="Times New Roman;serif" w:hAnsi="Times New Roman;serif"/>
                <w:b w:val="false"/>
                <w:color w:val="000000"/>
                <w:sz w:val="24"/>
              </w:rPr>
              <w:t>) shall be subject to such rules, conditions and procedures as shall be determined by the Board or the Compensation Committee, in its sole discretion, which rules, conditions and procedures shall at all times comply with the requirements of Section 409A of the Code, unless otherwise specifically determined by the Board or the Compensation Committee. If an individual elects to defer the delivery of the shares underlying RSUs granted under this Program, settlement of the deferred RSUs shall be made in accordance with the terms of the Deferral Election.</w:t>
            </w:r>
          </w:p>
        </w:tc>
      </w:tr>
      <w:tr>
        <w:trPr/>
        <w:tc>
          <w:tcPr>
            <w:tcW w:w="95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ind w:left="0" w:right="0" w:hanging="2"/>
              <w:jc w:val="left"/>
              <w:rPr>
                <w:rFonts w:ascii="Times New Roman;serif" w:hAnsi="Times New Roman;serif"/>
                <w:b w:val="false"/>
                <w:color w:val="000000"/>
                <w:sz w:val="24"/>
              </w:rPr>
            </w:pPr>
            <w:r>
              <w:rPr>
                <w:rFonts w:ascii="Times New Roman;serif" w:hAnsi="Times New Roman;serif"/>
                <w:b w:val="false"/>
                <w:color w:val="000000"/>
                <w:sz w:val="24"/>
              </w:rPr>
              <w:t>Election Method:</w:t>
            </w:r>
          </w:p>
        </w:tc>
        <w:tc>
          <w:tcPr>
            <w:tcW w:w="92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ind w:left="0" w:right="0" w:hanging="2"/>
              <w:jc w:val="both"/>
              <w:rPr>
                <w:rFonts w:ascii="Times New Roman;serif" w:hAnsi="Times New Roman;serif"/>
                <w:b w:val="false"/>
                <w:color w:val="000000"/>
                <w:sz w:val="24"/>
              </w:rPr>
            </w:pPr>
            <w:r>
              <w:rPr>
                <w:rFonts w:ascii="Times New Roman;serif" w:hAnsi="Times New Roman;serif"/>
                <w:b w:val="false"/>
                <w:color w:val="000000"/>
                <w:sz w:val="24"/>
              </w:rPr>
              <w:t>Each Deferral Election must be submitted to the Company in the form and manner specified by the Board or the Compensation Committee. Deferral Elections must comply with the following timing requirements:</w:t>
            </w:r>
          </w:p>
          <w:p>
            <w:pPr>
              <w:pStyle w:val="TableContents"/>
              <w:bidi w:val="0"/>
              <w:spacing w:lineRule="auto" w:line="288" w:before="121" w:after="283"/>
              <w:ind w:left="0" w:right="0" w:hanging="2"/>
              <w:jc w:val="both"/>
              <w:rPr/>
            </w:pPr>
            <w:r>
              <w:rPr>
                <w:color w:val="000000"/>
              </w:rPr>
              <w:t>●</w:t>
            </w:r>
            <w:r>
              <w:rPr>
                <w:rFonts w:ascii="Times New Roman;serif" w:hAnsi="Times New Roman;serif"/>
                <w:b w:val="false"/>
                <w:color w:val="000000"/>
                <w:sz w:val="24"/>
                <w:u w:val="single"/>
              </w:rPr>
              <w:t>Initial Deferral Election</w:t>
            </w:r>
            <w:r>
              <w:rPr>
                <w:rFonts w:ascii="Times New Roman;serif" w:hAnsi="Times New Roman;serif"/>
                <w:b w:val="false"/>
                <w:color w:val="000000"/>
                <w:sz w:val="24"/>
              </w:rPr>
              <w:t>. Each individual who first becomes a Non-Employee Director may make a Deferral Election with respect to the Non-Employee Director’s RSUs to be granted in the same calendar year as such individual first becomes a Non-Employee Director (the “</w:t>
            </w:r>
            <w:r>
              <w:rPr>
                <w:rFonts w:ascii="Times New Roman;serif" w:hAnsi="Times New Roman;serif"/>
                <w:b/>
                <w:i/>
                <w:color w:val="000000"/>
                <w:sz w:val="24"/>
              </w:rPr>
              <w:t>Initial Deferral Election</w:t>
            </w:r>
            <w:r>
              <w:rPr>
                <w:color w:val="000000"/>
              </w:rPr>
              <w:t>”</w:t>
            </w:r>
            <w:r>
              <w:rPr>
                <w:rFonts w:ascii="Times New Roman;serif" w:hAnsi="Times New Roman;serif"/>
                <w:b w:val="false"/>
                <w:color w:val="000000"/>
                <w:sz w:val="24"/>
              </w:rPr>
              <w:t>). The Initial Deferral Election must be submitted to the Company on or before the Initial Election Deadline, and the Initial Deferral Election shall become final and irrevocable as of the Initial Election Deadline.</w:t>
            </w:r>
          </w:p>
          <w:p>
            <w:pPr>
              <w:pStyle w:val="TableContents"/>
              <w:bidi w:val="0"/>
              <w:spacing w:lineRule="auto" w:line="288" w:before="121" w:after="283"/>
              <w:ind w:left="0" w:right="0" w:hanging="2"/>
              <w:jc w:val="both"/>
              <w:rPr/>
            </w:pPr>
            <w:r>
              <w:rPr>
                <w:color w:val="000000"/>
              </w:rPr>
              <w:t>●</w:t>
            </w:r>
            <w:r>
              <w:rPr>
                <w:rFonts w:ascii="Times New Roman;serif" w:hAnsi="Times New Roman;serif"/>
                <w:b w:val="false"/>
                <w:color w:val="000000"/>
                <w:sz w:val="24"/>
                <w:u w:val="single"/>
              </w:rPr>
              <w:t>Annual Deferral Election</w:t>
            </w:r>
            <w:r>
              <w:rPr>
                <w:rFonts w:ascii="Times New Roman;serif" w:hAnsi="Times New Roman;serif"/>
                <w:b w:val="false"/>
                <w:color w:val="000000"/>
                <w:sz w:val="24"/>
              </w:rPr>
              <w:t>. No later than the Annual Election Deadline, each individual who is a Non-Employee Director as of immediately before the Annual Election Deadline may make a Deferral Election with respect to the RSUs to be granted in the following calendar year (the “</w:t>
            </w:r>
            <w:r>
              <w:rPr>
                <w:rFonts w:ascii="Times New Roman;serif" w:hAnsi="Times New Roman;serif"/>
                <w:b/>
                <w:i/>
                <w:color w:val="000000"/>
                <w:sz w:val="24"/>
              </w:rPr>
              <w:t>Annual Deferral Election</w:t>
            </w:r>
            <w:r>
              <w:rPr>
                <w:color w:val="000000"/>
              </w:rPr>
              <w:t>”</w:t>
            </w:r>
            <w:r>
              <w:rPr>
                <w:rFonts w:ascii="Times New Roman;serif" w:hAnsi="Times New Roman;serif"/>
                <w:b w:val="false"/>
                <w:color w:val="000000"/>
                <w:sz w:val="24"/>
              </w:rPr>
              <w:t>). The Annual Deferral Election must be submitted to the Company on or before the applicable Annual Election Deadline and shall become final and irrevocable for the subsequent calendar year as of the applicable Annual Election Deadline.</w:t>
            </w:r>
            <w:r>
              <w:rPr>
                <w:color w:val="000000"/>
                <w:u w:val="single"/>
              </w:rPr>
              <w:t xml:space="preserve"> </w:t>
            </w:r>
          </w:p>
        </w:tc>
      </w:tr>
    </w:tbl>
    <w:p>
      <w:pPr>
        <w:pStyle w:val="TextBody"/>
        <w:bidi w:val="0"/>
        <w:spacing w:lineRule="auto" w:line="288" w:before="240" w:after="240"/>
        <w:ind w:left="0" w:right="0" w:hanging="2"/>
        <w:jc w:val="both"/>
        <w:rPr>
          <w:rFonts w:ascii="Times New Roman;serif" w:hAnsi="Times New Roman;serif"/>
          <w:b w:val="false"/>
          <w:color w:val="000000"/>
          <w:sz w:val="24"/>
        </w:rPr>
      </w:pPr>
      <w:r>
        <w:rPr>
          <w:rFonts w:ascii="Times New Roman;serif" w:hAnsi="Times New Roman;serif"/>
          <w:b w:val="false"/>
          <w:color w:val="000000"/>
          <w:sz w:val="24"/>
        </w:rPr>
        <w:t>No portion of an Initial RSU Award or Annual RSU Award which is unvested at the time of a Non-Employee Director’s termination of service on the Board will become vested and/or exercisable thereafter.</w:t>
      </w:r>
    </w:p>
    <w:p>
      <w:pPr>
        <w:pStyle w:val="TextBody"/>
        <w:bidi w:val="0"/>
        <w:spacing w:before="0" w:after="0"/>
        <w:ind w:left="0" w:right="0" w:hanging="1"/>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88620"/>
                <wp:effectExtent l="0" t="0" r="0" b="0"/>
                <wp:wrapNone/>
                <wp:docPr id="91" name="Frame91"/>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ind w:left="0" w:right="0" w:hanging="2"/>
                              <w:jc w:val="center"/>
                              <w:rPr>
                                <w:rFonts w:ascii="sans-serif" w:hAnsi="sans-serif"/>
                                <w:b w:val="false"/>
                                <w:color w:val="000000"/>
                                <w:sz w:val="24"/>
                              </w:rPr>
                            </w:pPr>
                            <w:r>
                              <w:rPr>
                                <w:rFonts w:ascii="sans-serif" w:hAnsi="sans-serif"/>
                                <w:b w:val="false"/>
                                <w:color w:val="000000"/>
                                <w:sz w:val="24"/>
                              </w:rPr>
                              <w:t>4</w:t>
                            </w:r>
                            <w:r>
                              <w:br w:type="page"/>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2"/>
                        <w:jc w:val="center"/>
                        <w:rPr>
                          <w:rFonts w:ascii="sans-serif" w:hAnsi="sans-serif"/>
                          <w:b w:val="false"/>
                          <w:color w:val="000000"/>
                          <w:sz w:val="24"/>
                        </w:rPr>
                      </w:pPr>
                      <w:r>
                        <w:rPr>
                          <w:rFonts w:ascii="sans-serif" w:hAnsi="sans-serif"/>
                          <w:b w:val="false"/>
                          <w:color w:val="000000"/>
                          <w:sz w:val="24"/>
                        </w:rPr>
                        <w:t>4</w:t>
                      </w:r>
                    </w:p>
                    <w:p>
                      <w:pPr>
                        <w:pStyle w:val="TextBody"/>
                        <w:bidi w:val="0"/>
                        <w:spacing w:before="0" w:after="0"/>
                        <w:ind w:left="0" w:right="0" w:hanging="2"/>
                        <w:jc w:val="left"/>
                        <w:rPr/>
                      </w:pPr>
                      <w:r>
                        <w:rPr/>
                      </w:r>
                    </w:p>
                  </w:txbxContent>
                </v:textbox>
                <w10:wrap type="none"/>
              </v:rect>
            </w:pict>
          </mc:Fallback>
        </mc:AlternateContent>
      </w:r>
    </w:p>
    <w:p>
      <w:pPr>
        <w:pStyle w:val="TextBody"/>
        <w:bidi w:val="0"/>
        <w:spacing w:lineRule="auto" w:line="288" w:before="0" w:after="240"/>
        <w:ind w:left="0" w:right="0" w:hanging="2"/>
        <w:jc w:val="both"/>
        <w:rPr>
          <w:rFonts w:ascii="Times New Roman;serif" w:hAnsi="Times New Roman;serif"/>
          <w:b/>
          <w:i/>
          <w:color w:val="000000"/>
          <w:sz w:val="24"/>
        </w:rPr>
      </w:pPr>
      <w:r>
        <w:rPr>
          <w:rFonts w:ascii="Times New Roman;serif" w:hAnsi="Times New Roman;serif"/>
          <w:b/>
          <w:i/>
          <w:color w:val="000000"/>
          <w:sz w:val="24"/>
        </w:rPr>
        <w:t>Change in Control</w:t>
      </w:r>
    </w:p>
    <w:p>
      <w:pPr>
        <w:pStyle w:val="TextBody"/>
        <w:bidi w:val="0"/>
        <w:spacing w:lineRule="auto" w:line="288" w:before="0" w:after="240"/>
        <w:ind w:left="0" w:right="0" w:hanging="2"/>
        <w:jc w:val="both"/>
        <w:rPr>
          <w:rFonts w:ascii="Times New Roman;serif" w:hAnsi="Times New Roman;serif"/>
          <w:b w:val="false"/>
          <w:color w:val="000000"/>
          <w:sz w:val="24"/>
        </w:rPr>
      </w:pPr>
      <w:r>
        <w:rPr>
          <w:rFonts w:ascii="Times New Roman;serif" w:hAnsi="Times New Roman;serif"/>
          <w:b w:val="false"/>
          <w:color w:val="000000"/>
          <w:sz w:val="24"/>
        </w:rPr>
        <w:t>Immediately prior to a Change in Control of the Company, all outstanding equity awards granted under the Plan and any other equity incentive plan maintained by the Company that are held by a Non-Employee Director will become fully vested and/or exercisable, irrespective of any other provisions of the Non-Employee Director’s Award Agreement.</w:t>
      </w:r>
    </w:p>
    <w:p>
      <w:pPr>
        <w:pStyle w:val="TextBody"/>
        <w:bidi w:val="0"/>
        <w:spacing w:lineRule="auto" w:line="288" w:before="0" w:after="240"/>
        <w:ind w:left="0" w:right="0" w:hanging="2"/>
        <w:jc w:val="both"/>
        <w:rPr>
          <w:rFonts w:ascii="Times New Roman;serif" w:hAnsi="Times New Roman;serif"/>
          <w:b/>
          <w:i/>
          <w:color w:val="000000"/>
          <w:sz w:val="24"/>
        </w:rPr>
      </w:pPr>
      <w:r>
        <w:rPr>
          <w:rFonts w:ascii="Times New Roman;serif" w:hAnsi="Times New Roman;serif"/>
          <w:b/>
          <w:i/>
          <w:color w:val="000000"/>
          <w:sz w:val="24"/>
        </w:rPr>
        <w:t>Certain Terminations</w:t>
      </w:r>
    </w:p>
    <w:p>
      <w:pPr>
        <w:pStyle w:val="TextBody"/>
        <w:bidi w:val="0"/>
        <w:spacing w:lineRule="auto" w:line="288" w:before="0" w:after="240"/>
        <w:ind w:left="0" w:right="0" w:hanging="2"/>
        <w:jc w:val="both"/>
        <w:rPr>
          <w:rFonts w:ascii="Times New Roman;serif" w:hAnsi="Times New Roman;serif"/>
          <w:b w:val="false"/>
          <w:color w:val="000000"/>
          <w:sz w:val="24"/>
        </w:rPr>
      </w:pPr>
      <w:r>
        <w:rPr>
          <w:rFonts w:ascii="Times New Roman;serif" w:hAnsi="Times New Roman;serif"/>
          <w:b w:val="false"/>
          <w:color w:val="000000"/>
          <w:sz w:val="24"/>
        </w:rPr>
        <w:t>Directors who are Employees who subsequently terminate their employment with the Company and any Subsidiary and remain a Director will not receive an Initial RSU Award, but to the extent that they are otherwise eligible, will be eligible to receive, after termination from employment with the Company and any Subsidiary, Annual RSU Awards as described above.</w:t>
      </w:r>
    </w:p>
    <w:p>
      <w:pPr>
        <w:pStyle w:val="TextBody"/>
        <w:bidi w:val="0"/>
        <w:spacing w:lineRule="auto" w:line="288" w:before="0" w:after="240"/>
        <w:ind w:left="0" w:right="0" w:hanging="2"/>
        <w:jc w:val="both"/>
        <w:rPr>
          <w:rFonts w:ascii="Times New Roman;serif" w:hAnsi="Times New Roman;serif"/>
          <w:b/>
          <w:i/>
          <w:color w:val="000000"/>
          <w:sz w:val="24"/>
        </w:rPr>
      </w:pPr>
      <w:r>
        <w:rPr>
          <w:rFonts w:ascii="Times New Roman;serif" w:hAnsi="Times New Roman;serif"/>
          <w:b/>
          <w:i/>
          <w:color w:val="000000"/>
          <w:sz w:val="24"/>
        </w:rPr>
        <w:t>Reimbursements</w:t>
      </w:r>
    </w:p>
    <w:p>
      <w:pPr>
        <w:pStyle w:val="TextBody"/>
        <w:bidi w:val="0"/>
        <w:spacing w:lineRule="auto" w:line="288" w:before="0" w:after="240"/>
        <w:ind w:left="0" w:right="0" w:hanging="2"/>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shall reimburse each Non-Employee Director for all reasonable, documented, out-of-pocket travel and other business expenses incurred by such Non-Employee Director in the performance of such Non-Employee Director’s duties to the Company in accordance with the Company’s applicable expense reimbursement policies and procedures as in effect from time to time. </w:t>
      </w:r>
    </w:p>
    <w:p>
      <w:pPr>
        <w:pStyle w:val="TextBody"/>
        <w:bidi w:val="0"/>
        <w:spacing w:lineRule="auto" w:line="288" w:before="0" w:after="240"/>
        <w:ind w:left="0" w:right="0" w:hanging="2"/>
        <w:jc w:val="both"/>
        <w:rPr>
          <w:rFonts w:ascii="Times New Roman;serif" w:hAnsi="Times New Roman;serif"/>
          <w:b/>
          <w:i/>
          <w:color w:val="000000"/>
          <w:sz w:val="24"/>
        </w:rPr>
      </w:pPr>
      <w:r>
        <w:rPr>
          <w:rFonts w:ascii="Times New Roman;serif" w:hAnsi="Times New Roman;serif"/>
          <w:b/>
          <w:i/>
          <w:color w:val="000000"/>
          <w:sz w:val="24"/>
        </w:rPr>
        <w:t>Miscellaneous</w:t>
      </w:r>
    </w:p>
    <w:p>
      <w:pPr>
        <w:pStyle w:val="TextBody"/>
        <w:bidi w:val="0"/>
        <w:spacing w:lineRule="auto" w:line="288" w:before="0" w:after="240"/>
        <w:ind w:left="0" w:right="0" w:hanging="2"/>
        <w:jc w:val="both"/>
        <w:rPr>
          <w:rFonts w:ascii="Times New Roman;serif" w:hAnsi="Times New Roman;serif"/>
          <w:b w:val="false"/>
          <w:color w:val="000000"/>
          <w:sz w:val="24"/>
        </w:rPr>
      </w:pPr>
      <w:r>
        <w:rPr>
          <w:rFonts w:ascii="Times New Roman;serif" w:hAnsi="Times New Roman;serif"/>
          <w:b w:val="false"/>
          <w:color w:val="000000"/>
          <w:sz w:val="24"/>
        </w:rPr>
        <w:t>The other provisions of the Plan will apply to the RSUs granted automatically under this Program, except to the extent such other provisions are inconsistent with this Program. All applicable terms of the Plan apply to this Program as if fully set forth herein, and all grants of RSUs hereby are subject in all respects to the terms of the Plan, including, without limitation, the limits on Non-Employee Director compensation set forth in Section 5.5 of the Plan. The grant of RSUs under this Program will be made solely by and subject to the terms set forth in an Award Agreement in a form to be approved by the Board and duly executed by an executive officer of the Company.</w:t>
      </w:r>
    </w:p>
    <w:p>
      <w:pPr>
        <w:pStyle w:val="TextBody"/>
        <w:bidi w:val="0"/>
        <w:spacing w:lineRule="auto" w:line="288" w:before="0" w:after="240"/>
        <w:ind w:left="0" w:right="0" w:hanging="2"/>
        <w:jc w:val="center"/>
        <w:rPr>
          <w:rFonts w:ascii="Times New Roman;serif" w:hAnsi="Times New Roman;serif"/>
          <w:b/>
          <w:color w:val="000000"/>
          <w:sz w:val="24"/>
        </w:rPr>
      </w:pPr>
      <w:r>
        <w:rPr>
          <w:rFonts w:ascii="Times New Roman;serif" w:hAnsi="Times New Roman;serif"/>
          <w:b/>
          <w:color w:val="000000"/>
          <w:sz w:val="24"/>
        </w:rPr>
        <w:t>* * *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88620"/>
                <wp:effectExtent l="0" t="0" r="0" b="0"/>
                <wp:wrapNone/>
                <wp:docPr id="92" name="Frame92"/>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ind w:left="0" w:right="0" w:hanging="2"/>
                              <w:jc w:val="center"/>
                              <w:rPr>
                                <w:rFonts w:ascii="sans-serif" w:hAnsi="sans-serif"/>
                                <w:b w:val="false"/>
                                <w:color w:val="000000"/>
                                <w:sz w:val="24"/>
                              </w:rPr>
                            </w:pPr>
                            <w:r>
                              <w:rPr>
                                <w:rFonts w:ascii="sans-serif" w:hAnsi="sans-serif"/>
                                <w:b w:val="false"/>
                                <w:color w:val="000000"/>
                                <w:sz w:val="24"/>
                              </w:rPr>
                              <w:t>5</w:t>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hanging="2"/>
                        <w:jc w:val="center"/>
                        <w:rPr>
                          <w:rFonts w:ascii="sans-serif" w:hAnsi="sans-serif"/>
                          <w:b w:val="false"/>
                          <w:color w:val="000000"/>
                          <w:sz w:val="24"/>
                        </w:rPr>
                      </w:pPr>
                      <w:r>
                        <w:rPr>
                          <w:rFonts w:ascii="sans-serif" w:hAnsi="sans-serif"/>
                          <w:b w:val="false"/>
                          <w:color w:val="000000"/>
                          <w:sz w:val="24"/>
                        </w:rPr>
                        <w:t>5</w:t>
                      </w:r>
                    </w:p>
                    <w:p>
                      <w:pPr>
                        <w:pStyle w:val="TextBody"/>
                        <w:bidi w:val="0"/>
                        <w:spacing w:before="0" w:after="0"/>
                        <w:ind w:left="0" w:right="0" w:hanging="2"/>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10.2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Omada Health,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Executive Bonus Plan</w:t>
      </w:r>
    </w:p>
    <w:p>
      <w:pPr>
        <w:pStyle w:val="TextBody"/>
        <w:bidi w:val="0"/>
        <w:spacing w:lineRule="auto" w:line="288" w:before="0" w:after="240"/>
        <w:ind w:left="0" w:right="0" w:hanging="1080"/>
        <w:jc w:val="both"/>
        <w:rPr/>
      </w:pPr>
      <w:r>
        <w:rPr>
          <w:rFonts w:ascii="Times New Roman;serif" w:hAnsi="Times New Roman;serif"/>
          <w:b w:val="false"/>
          <w:color w:val="000000"/>
          <w:sz w:val="24"/>
        </w:rPr>
        <w:t>1.</w:t>
      </w:r>
      <w:r>
        <w:rPr>
          <w:rFonts w:ascii="Times New Roman;serif" w:hAnsi="Times New Roman;serif"/>
          <w:b w:val="false"/>
          <w:i/>
          <w:color w:val="000000"/>
          <w:sz w:val="24"/>
        </w:rPr>
        <w:t>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Omada Health, Inc. Executive Bonus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is intended to provide an incentive for achievement of annual corporate and/or individual goals and to motivate eligible executives of Omada Health,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its subsidiaries toward high achievement and solid business results, to tie their goals and interests to those of the Company and its stockholders, and to enable the Company to attract and retain employees. The Plan is for the benefit of Eligible Employees (as defined below) and shall be implemented in consecutive annual performance periods (each a “</w:t>
      </w:r>
      <w:r>
        <w:rPr>
          <w:rFonts w:ascii="Times New Roman;serif" w:hAnsi="Times New Roman;serif"/>
          <w:b w:val="false"/>
          <w:color w:val="000000"/>
          <w:sz w:val="24"/>
          <w:u w:val="single"/>
        </w:rPr>
        <w:t>Performance Period</w:t>
      </w:r>
      <w:r>
        <w:rPr>
          <w:color w:val="000000"/>
        </w:rPr>
        <w:t>”</w:t>
      </w:r>
      <w:r>
        <w:rPr>
          <w:rFonts w:ascii="Times New Roman;serif" w:hAnsi="Times New Roman;serif"/>
          <w:b w:val="false"/>
          <w:color w:val="000000"/>
          <w:sz w:val="24"/>
        </w:rPr>
        <w:t>) commencing on January 1,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hanging="1080"/>
        <w:jc w:val="both"/>
        <w:rPr/>
      </w:pPr>
      <w:r>
        <w:rPr>
          <w:rFonts w:ascii="Times New Roman;serif" w:hAnsi="Times New Roman;serif"/>
          <w:b w:val="false"/>
          <w:color w:val="000000"/>
          <w:sz w:val="24"/>
        </w:rPr>
        <w:t>2.</w:t>
      </w:r>
      <w:r>
        <w:rPr>
          <w:rFonts w:ascii="Times New Roman;serif" w:hAnsi="Times New Roman;serif"/>
          <w:b w:val="false"/>
          <w:i/>
          <w:color w:val="000000"/>
          <w:sz w:val="24"/>
        </w:rPr>
        <w:t>Eligible Employees</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Compensation Committee of the Board of Directors of the Company (the “</w:t>
      </w:r>
      <w:r>
        <w:rPr>
          <w:rFonts w:ascii="Times New Roman;serif" w:hAnsi="Times New Roman;serif"/>
          <w:b w:val="false"/>
          <w:color w:val="000000"/>
          <w:sz w:val="24"/>
          <w:u w:val="single"/>
        </w:rPr>
        <w:t>Committee</w:t>
      </w:r>
      <w:r>
        <w:rPr>
          <w:color w:val="000000"/>
        </w:rPr>
        <w:t>”</w:t>
      </w:r>
      <w:r>
        <w:rPr>
          <w:rFonts w:ascii="Times New Roman;serif" w:hAnsi="Times New Roman;serif"/>
          <w:b w:val="false"/>
          <w:color w:val="000000"/>
          <w:sz w:val="24"/>
        </w:rPr>
        <w:t>) shall determine which executive officers of the Company and its subsidiaries shall be eligible to participate in the Plan for a given Performance Period (the “</w:t>
      </w:r>
      <w:r>
        <w:rPr>
          <w:rFonts w:ascii="Times New Roman;serif" w:hAnsi="Times New Roman;serif"/>
          <w:b w:val="false"/>
          <w:color w:val="000000"/>
          <w:sz w:val="24"/>
          <w:u w:val="single"/>
        </w:rPr>
        <w:t>Eligible Employees</w:t>
      </w:r>
      <w:r>
        <w:rPr>
          <w:color w:val="000000"/>
        </w:rPr>
        <w:t>”</w:t>
      </w:r>
      <w:r>
        <w:rPr>
          <w:rFonts w:ascii="Times New Roman;serif" w:hAnsi="Times New Roman;serif"/>
          <w:b w:val="false"/>
          <w:color w:val="000000"/>
          <w:sz w:val="24"/>
        </w:rPr>
        <w:t>). Participation in the Plan is in the sole discretion of the Committee. Accordingly, an Eligible Employee who is a participant in the Plan is in no way guaranteed or assured of being selected for participation in any subsequent Performance Period.</w:t>
      </w:r>
    </w:p>
    <w:p>
      <w:pPr>
        <w:pStyle w:val="TextBody"/>
        <w:bidi w:val="0"/>
        <w:spacing w:lineRule="auto" w:line="288" w:before="0" w:after="240"/>
        <w:ind w:left="0" w:right="0" w:hanging="1080"/>
        <w:jc w:val="both"/>
        <w:rPr/>
      </w:pPr>
      <w:r>
        <w:rPr>
          <w:rFonts w:ascii="Times New Roman;serif" w:hAnsi="Times New Roman;serif"/>
          <w:b w:val="false"/>
          <w:color w:val="000000"/>
          <w:sz w:val="24"/>
        </w:rPr>
        <w:t>3.</w:t>
      </w:r>
      <w:r>
        <w:rPr>
          <w:rFonts w:ascii="Times New Roman;serif" w:hAnsi="Times New Roman;serif"/>
          <w:b w:val="false"/>
          <w:i/>
          <w:color w:val="000000"/>
          <w:sz w:val="24"/>
        </w:rPr>
        <w:t>Administration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Board of Directors of the Company (the "</w:t>
      </w:r>
      <w:r>
        <w:rPr>
          <w:rFonts w:ascii="Times New Roman;serif" w:hAnsi="Times New Roman;serif"/>
          <w:b w:val="false"/>
          <w:color w:val="000000"/>
          <w:sz w:val="24"/>
          <w:u w:val="single"/>
        </w:rPr>
        <w:t>Administrator</w:t>
      </w:r>
      <w:r>
        <w:rPr>
          <w:rFonts w:ascii="Times New Roman;serif" w:hAnsi="Times New Roman;serif"/>
          <w:b w:val="false"/>
          <w:color w:val="000000"/>
          <w:sz w:val="24"/>
        </w:rPr>
        <w:t>") shall administer the Plan in all respects and shall have the sole discretion and authority to administer and interpret the Plan.</w:t>
      </w:r>
    </w:p>
    <w:p>
      <w:pPr>
        <w:pStyle w:val="TextBody"/>
        <w:bidi w:val="0"/>
        <w:spacing w:lineRule="auto" w:line="288" w:before="0" w:after="240"/>
        <w:ind w:left="0" w:right="0" w:hanging="1080"/>
        <w:jc w:val="both"/>
        <w:rPr/>
      </w:pPr>
      <w:r>
        <w:rPr>
          <w:rFonts w:ascii="Times New Roman;serif" w:hAnsi="Times New Roman;serif"/>
          <w:b w:val="false"/>
          <w:color w:val="000000"/>
          <w:sz w:val="24"/>
        </w:rPr>
        <w:t>4.</w:t>
      </w:r>
      <w:r>
        <w:rPr>
          <w:rFonts w:ascii="Times New Roman;serif" w:hAnsi="Times New Roman;serif"/>
          <w:b w:val="false"/>
          <w:i/>
          <w:color w:val="000000"/>
          <w:sz w:val="24"/>
        </w:rPr>
        <w:t>Bonus Determinations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An Eligible Employee may receive a bonus payment under the Plan based upon attainment of corporate performance objectives established for the Performance Period by the Administrator and/or Eligible Employee attainment of individual performance objectives (if any) established for the Performance Period by the Committee (the “</w:t>
      </w:r>
      <w:r>
        <w:rPr>
          <w:rFonts w:ascii="Times New Roman;serif" w:hAnsi="Times New Roman;serif"/>
          <w:b w:val="false"/>
          <w:color w:val="000000"/>
          <w:sz w:val="24"/>
          <w:u w:val="single"/>
        </w:rPr>
        <w:t>Performance Goals</w:t>
      </w:r>
      <w:r>
        <w:rPr>
          <w:color w:val="000000"/>
        </w:rPr>
        <w:t>”</w:t>
      </w:r>
      <w:r>
        <w:rPr>
          <w:rFonts w:ascii="Times New Roman;serif" w:hAnsi="Times New Roman;serif"/>
          <w:b w:val="false"/>
          <w:color w:val="000000"/>
          <w:sz w:val="24"/>
        </w:rPr>
        <w:t>). The Administrator shall determine a level of attainment for each Performance Goal, may specify “threshold,” “target” and “stretch” levels of achievement, may specify that a Performance Goal is merely subject to achievement or not or may specify that a Performance Goal shall be subjectively determined by the Administrator and, if applicable, shall specify the applicable percentage achievement corresponding to each level of attainment, including, if applicable, any intermediate levels of attainment (the “</w:t>
      </w:r>
      <w:r>
        <w:rPr>
          <w:rFonts w:ascii="Times New Roman;serif" w:hAnsi="Times New Roman;serif"/>
          <w:b w:val="false"/>
          <w:color w:val="000000"/>
          <w:sz w:val="24"/>
          <w:u w:val="single"/>
        </w:rPr>
        <w:t>Achievement Level Factor</w:t>
      </w:r>
      <w:r>
        <w:rPr>
          <w:color w:val="000000"/>
        </w:rPr>
        <w:t>”</w:t>
      </w:r>
      <w:r>
        <w:rPr>
          <w:rFonts w:ascii="Times New Roman;serif" w:hAnsi="Times New Roman;serif"/>
          <w:b w:val="false"/>
          <w:color w:val="000000"/>
          <w:sz w:val="24"/>
        </w:rPr>
        <w:t>). The weighting of each Performance Goal shall also be specified by the Administrator, and the aggregate weightings may exceed 100%.</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25780"/>
                <wp:effectExtent l="0" t="0" r="0" b="0"/>
                <wp:wrapNone/>
                <wp:docPr id="93" name="Frame9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amount of bonus that can be earned by any Eligible Employee during the Performance Period shall be based on the Eligible Employee’s target bonus percentage (“</w:t>
      </w:r>
      <w:r>
        <w:rPr>
          <w:rFonts w:ascii="Times New Roman;serif" w:hAnsi="Times New Roman;serif"/>
          <w:b w:val="false"/>
          <w:color w:val="000000"/>
          <w:sz w:val="24"/>
          <w:u w:val="single"/>
        </w:rPr>
        <w:t>Target Bonus Percentage</w:t>
      </w:r>
      <w:r>
        <w:rPr>
          <w:color w:val="000000"/>
        </w:rPr>
        <w:t>”</w:t>
      </w:r>
      <w:r>
        <w:rPr>
          <w:rFonts w:ascii="Times New Roman;serif" w:hAnsi="Times New Roman;serif"/>
          <w:b w:val="false"/>
          <w:color w:val="000000"/>
          <w:sz w:val="24"/>
        </w:rPr>
        <w:t>), which shall be established by the Administrator and expressed as a percentage of the Eligible Employee’s base salary. Unless determined otherwise by the Administrator, in its sole discretion, the maximum amount payable to any Eligible Employee shall be one-hundred fifty percent (150%) of such Eligible Employee’s Target Bonus Percentage in any given Performance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Each Eligible Employee’s bonus will be determined based on the Company’s and/or the Eligible Employee’s achievement of the Performance Goals, which shall be weighted as determined by the Administrator in its sole discretion (the “</w:t>
      </w:r>
      <w:r>
        <w:rPr>
          <w:rFonts w:ascii="Times New Roman;serif" w:hAnsi="Times New Roman;serif"/>
          <w:b w:val="false"/>
          <w:color w:val="000000"/>
          <w:sz w:val="24"/>
          <w:u w:val="single"/>
        </w:rPr>
        <w:t>Performance Mix</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As soon as administratively practicable following the end of the applicable Performance Period, the Administrator shall determine the achievement level of each Performance Goal for each Eligible Employee for the full Performance Period. The corporate and individual performance component for each Eligible Employee (the “</w:t>
      </w:r>
      <w:r>
        <w:rPr>
          <w:rFonts w:ascii="Times New Roman;serif" w:hAnsi="Times New Roman;serif"/>
          <w:b w:val="false"/>
          <w:color w:val="000000"/>
          <w:sz w:val="24"/>
          <w:u w:val="single"/>
        </w:rPr>
        <w:t>Performance Component</w:t>
      </w:r>
      <w:r>
        <w:rPr>
          <w:color w:val="000000"/>
        </w:rPr>
        <w:t>”</w:t>
      </w:r>
      <w:r>
        <w:rPr>
          <w:rFonts w:ascii="Times New Roman;serif" w:hAnsi="Times New Roman;serif"/>
          <w:b w:val="false"/>
          <w:color w:val="000000"/>
          <w:sz w:val="24"/>
        </w:rPr>
        <w:t xml:space="preserve">) shall be the sum of the amount for each Performance Goal calculated by multiplying (1) the Achievement Level Factor for the applicable Performance Goal times (2) the weighting for such Performance Goal times (3) the Target Bonus Percentage for the Eligible Employee times (4) the Eligible Employee’s annual base salary and (5) any proration applied based on an Eligible Employee’s new hire date or any other change in position, as determined by the Administrator. </w: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An Eligible Employee’s actual bonus payment (“</w:t>
      </w:r>
      <w:r>
        <w:rPr>
          <w:rFonts w:ascii="Times New Roman;serif" w:hAnsi="Times New Roman;serif"/>
          <w:b w:val="false"/>
          <w:color w:val="000000"/>
          <w:sz w:val="24"/>
          <w:u w:val="single"/>
        </w:rPr>
        <w:t>Bonus Payment</w:t>
      </w:r>
      <w:r>
        <w:rPr>
          <w:color w:val="000000"/>
        </w:rPr>
        <w:t>”</w:t>
      </w:r>
      <w:r>
        <w:rPr>
          <w:rFonts w:ascii="Times New Roman;serif" w:hAnsi="Times New Roman;serif"/>
          <w:b w:val="false"/>
          <w:color w:val="000000"/>
          <w:sz w:val="24"/>
        </w:rPr>
        <w:t>) for a given Performance Period will be weighted according to the Eligible Employee’s Performance Mix and calculated based on the Performance Component and, in the discretion of the Administrator, adjusted based on its and/or the Committee's assessment of individual performance (the “</w:t>
      </w:r>
      <w:r>
        <w:rPr>
          <w:rFonts w:ascii="Times New Roman;serif" w:hAnsi="Times New Roman;serif"/>
          <w:b w:val="false"/>
          <w:color w:val="000000"/>
          <w:sz w:val="24"/>
          <w:u w:val="single"/>
        </w:rPr>
        <w:t>Discretionary Component</w:t>
      </w:r>
      <w:r>
        <w:rPr>
          <w:color w:val="000000"/>
        </w:rPr>
        <w:t>”</w:t>
      </w:r>
      <w:r>
        <w:rPr>
          <w:rFonts w:ascii="Times New Roman;serif" w:hAnsi="Times New Roman;serif"/>
          <w:b w:val="false"/>
          <w:color w:val="000000"/>
          <w:sz w:val="24"/>
        </w:rPr>
        <w:t xml:space="preserve">) determined by the Administrator and/or the Committee through consideration of such Eligible Employee’s individual performance and contribution during the Performance Period relative to others in their organization. For the avoidance of doubt, the achievement of the Discretionary Component can be less than, equal to or greater than 100% and can act to reduce (including to zero) or increase the Bonus Payment for an Eligible Employee, as determined in the Administrator’s discretion. The Administrator will also have the authority to consider such Eligible Employee’s performance and contribution relative to all Company employees at the same level in determining an individual’s actual final Bonus Payment. Unless otherwise determined by the Administrator, Eligible Employees who are on a performance improvement plan at the time bonuses are determined hereunder shall not be entitled to a Bonus Payment.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Subject to Section 2 hereof, the Administrator may, in its sole discretion and at any time, (i) pay bonuses (including, without limitation, discretionary bonuses) to Eligible Employees under the Plan based upon such other terms and conditions as the Administrator may in its discretion determine, (ii) increase, reduce, or eliminate any bonus otherwise payable under the Plan, and/or (iii) establish or modify Performance Periods. The Administrator may determine the amount of any reduction on the basis of such factors as it deems relevant and shall not be required to establish any allocation or weighting with respect to the factors it considers.</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35965"/>
                <wp:effectExtent l="0" t="0" r="0" b="0"/>
                <wp:wrapNone/>
                <wp:docPr id="94" name="Frame94"/>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Subject to applicable law, the payment of a bonus to an Eligible Employee with respect to the Performance Period shall be conditioned upon the Eligible Employee’s employment by the Company on the date such payment is made; provided, however</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 xml:space="preserve">that the Administrator may make exceptions to this requirement, in its sole discretion, including, without limitation, in the case of an Eligible Employee’s termination of employment, retirement, death, or disability. Payment of bonuses to Eligible Employees shall be made as soon as practicable, as determined by the Administrator after the end of the Performance Period. </w:t>
      </w:r>
    </w:p>
    <w:p>
      <w:pPr>
        <w:pStyle w:val="TextBody"/>
        <w:bidi w:val="0"/>
        <w:spacing w:lineRule="auto" w:line="288"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For the avoidance of doubt and unless otherwise determined by the Administrator, individuals not on the Company’s, or the applicable subsidiary’s, payroll on or before the end of the Plan year will not be bonus eligible in that Plan year. </w:t>
      </w:r>
    </w:p>
    <w:p>
      <w:pPr>
        <w:pStyle w:val="TextBody"/>
        <w:bidi w:val="0"/>
        <w:spacing w:lineRule="auto" w:line="288" w:before="0" w:after="240"/>
        <w:ind w:left="0" w:right="0" w:hanging="1080"/>
        <w:jc w:val="both"/>
        <w:rPr/>
      </w:pPr>
      <w:r>
        <w:rPr>
          <w:rFonts w:ascii="Times New Roman;serif" w:hAnsi="Times New Roman;serif"/>
          <w:b w:val="false"/>
          <w:color w:val="000000"/>
          <w:sz w:val="24"/>
        </w:rPr>
        <w:t>5.</w:t>
      </w:r>
      <w:r>
        <w:rPr>
          <w:rFonts w:ascii="Times New Roman;serif" w:hAnsi="Times New Roman;serif"/>
          <w:b w:val="false"/>
          <w:i/>
          <w:color w:val="000000"/>
          <w:sz w:val="24"/>
        </w:rPr>
        <w:t>Amendment and Termination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reserves the right to amend or terminate the Plan at any time in its sole discretion. </w:t>
      </w:r>
    </w:p>
    <w:p>
      <w:pPr>
        <w:pStyle w:val="TextBody"/>
        <w:bidi w:val="0"/>
        <w:spacing w:lineRule="auto" w:line="288" w:before="0" w:after="240"/>
        <w:ind w:left="0" w:right="0" w:hanging="1080"/>
        <w:jc w:val="both"/>
        <w:rPr/>
      </w:pPr>
      <w:r>
        <w:rPr>
          <w:rFonts w:ascii="Times New Roman;serif" w:hAnsi="Times New Roman;serif"/>
          <w:b w:val="false"/>
          <w:color w:val="000000"/>
          <w:sz w:val="24"/>
        </w:rPr>
        <w:t>6.</w:t>
      </w:r>
      <w:r>
        <w:rPr>
          <w:rFonts w:ascii="Times New Roman;serif" w:hAnsi="Times New Roman;serif"/>
          <w:b w:val="false"/>
          <w:i/>
          <w:color w:val="000000"/>
          <w:sz w:val="24"/>
        </w:rPr>
        <w:t>Tax Withholding</w:t>
      </w:r>
      <w:r>
        <w:rPr>
          <w:color w:val="000000"/>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Company shall withhold all applicable taxes from any bonus payment made under the Plan, including any federal, state and local or foreign taxes (including, but not limited to, FICA and SDI obligations).</w:t>
      </w:r>
    </w:p>
    <w:p>
      <w:pPr>
        <w:pStyle w:val="TextBody"/>
        <w:bidi w:val="0"/>
        <w:spacing w:before="0" w:after="0"/>
        <w:jc w:val="both"/>
        <w:rPr/>
      </w:pPr>
      <w:r>
        <w:rPr/>
      </w:r>
    </w:p>
    <w:p>
      <w:pPr>
        <w:pStyle w:val="TextBody"/>
        <w:bidi w:val="0"/>
        <w:spacing w:lineRule="auto" w:line="288" w:before="0" w:after="240"/>
        <w:ind w:left="0" w:right="0" w:hanging="1080"/>
        <w:jc w:val="both"/>
        <w:rPr/>
      </w:pPr>
      <w:r>
        <w:rPr>
          <w:rFonts w:ascii="Times New Roman;serif" w:hAnsi="Times New Roman;serif"/>
          <w:b w:val="false"/>
          <w:color w:val="000000"/>
          <w:sz w:val="24"/>
        </w:rPr>
        <w:t>7.</w:t>
      </w:r>
      <w:r>
        <w:rPr>
          <w:rFonts w:ascii="Times New Roman;serif" w:hAnsi="Times New Roman;serif"/>
          <w:b w:val="false"/>
          <w:i/>
          <w:color w:val="000000"/>
          <w:sz w:val="24"/>
        </w:rPr>
        <w:t>No Effect on Employment or Service</w:t>
      </w:r>
      <w:r>
        <w:rPr>
          <w:color w:val="000000"/>
        </w:rPr>
        <w:t xml:space="preserv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Nothing in the Plan shall interfere with or limit in any way the right of the Company or any of its affiliates to terminate any Eligible Employee’s employment or service at any time, with or without cause. Except as may otherwise be provided by applicable law or a binding written agreement entered into between the Company and any Eligible Employee, an Eligible Employee’s employment with the Company and its affiliates is on an at-will basis only. The Company expressly reserves the right, which may be exercised at any time and without regard to when during a performance period such exercise occurs, to terminate any individual’s employment with or without cause, and to treat him or her without regard to the effect that such treatment might have upon him or her as an Eligible Employee.</w:t>
      </w:r>
    </w:p>
    <w:p>
      <w:pPr>
        <w:pStyle w:val="TextBody"/>
        <w:bidi w:val="0"/>
        <w:spacing w:before="0" w:after="0"/>
        <w:jc w:val="both"/>
        <w:rPr/>
      </w:pPr>
      <w:r>
        <w:rPr/>
      </w:r>
    </w:p>
    <w:p>
      <w:pPr>
        <w:pStyle w:val="TextBody"/>
        <w:bidi w:val="0"/>
        <w:spacing w:lineRule="auto" w:line="288" w:before="0" w:after="240"/>
        <w:ind w:left="0" w:right="0" w:hanging="1080"/>
        <w:jc w:val="both"/>
        <w:rPr/>
      </w:pPr>
      <w:r>
        <w:rPr>
          <w:rFonts w:ascii="Times New Roman;serif" w:hAnsi="Times New Roman;serif"/>
          <w:b w:val="false"/>
          <w:color w:val="000000"/>
          <w:sz w:val="24"/>
        </w:rPr>
        <w:t>8.</w:t>
      </w:r>
      <w:r>
        <w:rPr>
          <w:rFonts w:ascii="Times New Roman;serif" w:hAnsi="Times New Roman;serif"/>
          <w:b w:val="false"/>
          <w:i/>
          <w:color w:val="000000"/>
          <w:sz w:val="24"/>
        </w:rPr>
        <w:t>Term of Plan</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The Plan shall become effective as of the Effective Date, and it shall remain in effect until all payments with respect to the applicable Performance Period have been made.</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35965"/>
                <wp:effectExtent l="0" t="0" r="0" b="0"/>
                <wp:wrapNone/>
                <wp:docPr id="95" name="Frame95"/>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1080"/>
        <w:jc w:val="both"/>
        <w:rPr/>
      </w:pPr>
      <w:r>
        <w:rPr>
          <w:rFonts w:ascii="Times New Roman;serif" w:hAnsi="Times New Roman;serif"/>
          <w:b w:val="false"/>
          <w:color w:val="000000"/>
          <w:sz w:val="24"/>
        </w:rPr>
        <w:t>9.</w:t>
      </w:r>
      <w:r>
        <w:rPr>
          <w:rFonts w:ascii="Times New Roman;serif" w:hAnsi="Times New Roman;serif"/>
          <w:b w:val="false"/>
          <w:i/>
          <w:color w:val="000000"/>
          <w:sz w:val="24"/>
        </w:rPr>
        <w:t>Unfunded Obligations</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rights of Eligible Employees under the Plan shall be unfunded and unsecured. Amounts payable under the Plan are not and will not be transferred into a trust or otherwise set aside. Neither the Company nor any subsidiary shall be required to establish any special or separate fund or to make any other segregation of assets to assure the payment of any bonus under the Plan. </w:t>
      </w:r>
    </w:p>
    <w:p>
      <w:pPr>
        <w:pStyle w:val="TextBody"/>
        <w:bidi w:val="0"/>
        <w:spacing w:before="0" w:after="0"/>
        <w:ind w:left="0" w:right="0" w:firstLine="720"/>
        <w:jc w:val="both"/>
        <w:rPr/>
      </w:pPr>
      <w:r>
        <w:rPr/>
      </w:r>
    </w:p>
    <w:p>
      <w:pPr>
        <w:pStyle w:val="TextBody"/>
        <w:bidi w:val="0"/>
        <w:spacing w:lineRule="auto" w:line="288" w:before="0" w:after="240"/>
        <w:ind w:left="0" w:right="0" w:hanging="1080"/>
        <w:jc w:val="both"/>
        <w:rPr/>
      </w:pPr>
      <w:r>
        <w:rPr>
          <w:rFonts w:ascii="Times New Roman;serif" w:hAnsi="Times New Roman;serif"/>
          <w:b w:val="false"/>
          <w:color w:val="000000"/>
          <w:sz w:val="24"/>
        </w:rPr>
        <w:t>10.</w:t>
      </w:r>
      <w:r>
        <w:rPr>
          <w:rFonts w:ascii="Times New Roman;serif" w:hAnsi="Times New Roman;serif"/>
          <w:b w:val="false"/>
          <w:i/>
          <w:color w:val="000000"/>
          <w:sz w:val="24"/>
        </w:rPr>
        <w:t xml:space="preserve">Rights Not Transferable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rights of any Eligible Employee to payments of any amounts under the Plan shall be sold, exchanged, transferred, assigned, pledged, hypothecated, or otherwise disposed of other than by will or by laws of descent and distribution, and any such purported sale, exchange, transfer, assignment, pledge, hypothecation, or disposition shall be void.</w:t>
      </w:r>
    </w:p>
    <w:p>
      <w:pPr>
        <w:pStyle w:val="TextBody"/>
        <w:bidi w:val="0"/>
        <w:spacing w:before="0" w:after="0"/>
        <w:ind w:left="0" w:right="0" w:firstLine="720"/>
        <w:jc w:val="both"/>
        <w:rPr/>
      </w:pPr>
      <w:r>
        <w:rPr/>
      </w:r>
    </w:p>
    <w:p>
      <w:pPr>
        <w:pStyle w:val="TextBody"/>
        <w:bidi w:val="0"/>
        <w:spacing w:lineRule="auto" w:line="288" w:before="0" w:after="240"/>
        <w:ind w:left="0" w:right="0" w:hanging="1080"/>
        <w:jc w:val="both"/>
        <w:rPr/>
      </w:pPr>
      <w:r>
        <w:rPr>
          <w:rFonts w:ascii="Times New Roman;serif" w:hAnsi="Times New Roman;serif"/>
          <w:b w:val="false"/>
          <w:color w:val="000000"/>
          <w:sz w:val="24"/>
        </w:rPr>
        <w:t>11.</w:t>
      </w:r>
      <w:r>
        <w:rPr>
          <w:rFonts w:ascii="Times New Roman;serif" w:hAnsi="Times New Roman;serif"/>
          <w:b w:val="false"/>
          <w:i/>
          <w:color w:val="000000"/>
          <w:sz w:val="24"/>
        </w:rPr>
        <w:t>Governing Law</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Plan and the rights and obligations of the parties to the Plan shall be governed by, and construed and interpreted in accordance with, the law of the State of California (without regard to principles of conflicts of law).</w:t>
      </w:r>
    </w:p>
    <w:p>
      <w:pPr>
        <w:pStyle w:val="TextBody"/>
        <w:bidi w:val="0"/>
        <w:spacing w:before="0" w:after="0"/>
        <w:ind w:left="0" w:right="0" w:firstLine="720"/>
        <w:jc w:val="both"/>
        <w:rPr/>
      </w:pPr>
      <w:r>
        <w:rPr/>
      </w:r>
    </w:p>
    <w:p>
      <w:pPr>
        <w:pStyle w:val="TextBody"/>
        <w:bidi w:val="0"/>
        <w:spacing w:lineRule="auto" w:line="288" w:before="0" w:after="240"/>
        <w:ind w:left="0" w:right="0" w:hanging="1080"/>
        <w:jc w:val="both"/>
        <w:rPr/>
      </w:pPr>
      <w:r>
        <w:rPr>
          <w:rFonts w:ascii="Times New Roman;serif" w:hAnsi="Times New Roman;serif"/>
          <w:b w:val="false"/>
          <w:color w:val="000000"/>
          <w:sz w:val="24"/>
        </w:rPr>
        <w:t>12.</w:t>
      </w:r>
      <w:r>
        <w:rPr>
          <w:rFonts w:ascii="Times New Roman;serif" w:hAnsi="Times New Roman;serif"/>
          <w:b w:val="false"/>
          <w:i/>
          <w:color w:val="000000"/>
          <w:sz w:val="24"/>
        </w:rPr>
        <w:t>Section 409A</w:t>
      </w:r>
    </w:p>
    <w:p>
      <w:pPr>
        <w:pStyle w:val="TextBody"/>
        <w:bidi w:val="0"/>
        <w:spacing w:lineRule="auto" w:line="288" w:before="0" w:after="0"/>
        <w:ind w:left="0" w:right="0" w:firstLine="720"/>
        <w:jc w:val="both"/>
        <w:rPr/>
      </w:pPr>
      <w:r>
        <w:rPr>
          <w:rFonts w:ascii="Times New Roman;serif" w:hAnsi="Times New Roman;serif"/>
          <w:b w:val="false"/>
          <w:color w:val="000000"/>
          <w:sz w:val="24"/>
        </w:rPr>
        <w:t>It is intended that the payments under this Plan comply with or be exempt from Section 409A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and the Department of Treasury regulations and other interpretive guidance issued thereunder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xml:space="preserve">), including without limitation any such regulations or other guidance that may be issued after the Effective Date. Accordingly, to the maximum extent permitted, this Plan shall be interpreted to be in compliance with Section 409A, and any payment hereunder shall be made in compliance with or pursuant to an exemption from Section 409A. </w:t>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35965"/>
                <wp:effectExtent l="0" t="0" r="0" b="0"/>
                <wp:wrapNone/>
                <wp:docPr id="96" name="Frame96"/>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36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I, Sean Duffy, certify that:</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Omada Health, Inc.;</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(b) [Reserved];</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870"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732"/>
        <w:gridCol w:w="732"/>
        <w:gridCol w:w="104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Sean Duffy</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Sean Duffy</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333" w:before="43" w:after="283"/>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ableContents"/>
              <w:bidi w:val="0"/>
              <w:spacing w:lineRule="auto" w:line="333" w:before="0" w:after="2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Steve Cook, certify that: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Omada Health,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[Reserved];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pPr>
      <w:r>
        <w:rPr/>
      </w:r>
    </w:p>
    <w:tbl>
      <w:tblPr>
        <w:tblW w:w="4885"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738"/>
        <w:gridCol w:w="738"/>
        <w:gridCol w:w="104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 Cook</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Steve Cook</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Omada Health, Inc. (the “Company”) for the period ended March 31, 2026, as filed with the Securities and Exchange Commission on the date hereof (the “Report”), I certify, pursuant to 18 U.S.C. § 1350, as adopted pursuant to § 906 of the Sarbanes-Oxley Act of 2002, as amended, that, to the best of my knowledge: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240" w:after="283"/>
        <w:jc w:val="left"/>
        <w:rPr/>
      </w:pPr>
      <w:r>
        <w:rPr/>
      </w:r>
    </w:p>
    <w:tbl>
      <w:tblPr>
        <w:tblW w:w="4870"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732"/>
        <w:gridCol w:w="732"/>
        <w:gridCol w:w="104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Sean Duffy</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Sean Duffy</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Omada Health, Inc. (the “Company”) for the period ended March 31, 2026, as filed with the Securities and Exchange Commission on the date hereof (the “Report”), I certify, pursuant to 18 U.S.C. § 1350, as adopted pursuant to § 906 of the Sarbanes-Oxley Act of 2002, as amended, that, to the best of my knowledge: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4885"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738"/>
        <w:gridCol w:w="738"/>
        <w:gridCol w:w="104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 Cook</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Steve Cook</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11115/000119312525137809/d24316dex31.htm" TargetMode="External"/><Relationship Id="rId3" Type="http://schemas.openxmlformats.org/officeDocument/2006/relationships/hyperlink" Target="https://www.sec.gov/Archives/edgar/data/1611115/000119312525137809/d24316dex32.htm" TargetMode="External"/><Relationship Id="rId4" Type="http://schemas.openxmlformats.org/officeDocument/2006/relationships/hyperlink" Target="https://www.sec.gov/Archives/edgar/data/1611115/000119312525116907/d785770dex42.htm" TargetMode="External"/><Relationship Id="rId5" Type="http://schemas.openxmlformats.org/officeDocument/2006/relationships/hyperlink" Target="https://www.sec.gov/Archives/edgar/data/1611115/000119312525116907/d785770dex43.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63338</Words>
  <Characters>355372</Characters>
  <CharactersWithSpaces>416868</CharactersWithSpaces>
  <Paragraphs>2396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