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Steven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06/30/2026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8.28</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200,782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19,427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220,209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19.8924</w:t>
            </w:r>
            <w:r>
              <w:rPr>
                <w:rFonts w:ascii="Times;serif" w:hAnsi="Times;serif"/>
                <w:color w:val="008000"/>
                <w:position w:val="7"/>
                <w:sz w:val="16"/>
                <w:sz w:val="20"/>
                <w:shd w:fill="FFFFFF" w:val="clear"/>
              </w:rPr>
              <w:t>(3)</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187,209</w:t>
            </w:r>
            <w:r>
              <w:rPr>
                <w:rFonts w:ascii="Times;serif" w:hAnsi="Times;serif"/>
                <w:color w:val="008000"/>
                <w:position w:val="7"/>
                <w:sz w:val="16"/>
                <w:sz w:val="20"/>
                <w:shd w:fill="FFFFFF" w:val="clear"/>
              </w:rPr>
              <w:t>(1)</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8.28</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205,159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17,950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21.0678</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187,209</w:t>
            </w:r>
            <w:r>
              <w:rPr>
                <w:rFonts w:ascii="Times;serif" w:hAnsi="Times;serif"/>
                <w:color w:val="008000"/>
                <w:position w:val="7"/>
                <w:sz w:val="16"/>
                <w:sz w:val="20"/>
                <w:shd w:fill="FFFFFF" w:val="clear"/>
              </w:rPr>
              <w:t>(1)</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319,759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301,809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restates in its entirety the original Form 4 filed on 6/30/2026 to report exercise transactions that were inadvertently omitted from the original filing. The exercises reported herein were part of same-day exercise-and-sale transactions, and the corresponding sales were timely reported in the original Form 4. Due to the omission of these exercise transactions, the amount of securities beneficially owned following the sales was understated. The amount of securities beneficially owned has been adjusted in Box 5 of Table I of this Form 4/A to correct the aforementioned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made pursuant to a 10b5-1 trading plan adopted by the Reporting Person on March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$19.6727 to $20.078.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 of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1/48th of the shares subject to the option vest on each monthly anniversary measured from February 1, 2024 (the "Vesting Commencement Date"), such that 100% of the shares subject to the option will be fully vested and exercisable on the fourth anniversary of the Vesting Commencement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Steven L. Cook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7605"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4790</Characters>
  <CharactersWithSpaces>5574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