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FETTER TREVOR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OMADA HEALTH,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 GATEWAY BLVD., SUITE 120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Omada Health, Inc.</w:t>
              </w:r>
            </w:hyperlink>
            <w:r>
              <w:rPr/>
              <w:t xml:space="preserve"> [ </w:t>
            </w:r>
            <w:r>
              <w:rPr>
                <w:rFonts w:ascii="Times;serif" w:hAnsi="Times;serif"/>
                <w:color w:val="0000FF"/>
                <w:sz w:val="24"/>
                <w:shd w:fill="FFFFFF" w:val="clear"/>
              </w:rPr>
              <w:t>OMDA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9"/>
        <w:gridCol w:w="904"/>
        <w:gridCol w:w="773"/>
        <w:gridCol w:w="600"/>
        <w:gridCol w:w="351"/>
        <w:gridCol w:w="815"/>
        <w:gridCol w:w="463"/>
        <w:gridCol w:w="625"/>
        <w:gridCol w:w="1177"/>
        <w:gridCol w:w="1008"/>
        <w:gridCol w:w="103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751</w:t>
            </w:r>
            <w:r>
              <w:rPr>
                <w:rFonts w:ascii="Times;serif" w:hAnsi="Times;serif"/>
                <w:color w:val="008000"/>
                <w:position w:val="7"/>
                <w:sz w:val="16"/>
                <w:sz w:val="20"/>
                <w:shd w:fill="FFFFFF" w:val="clear"/>
              </w:rPr>
              <w:t>(1)</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25,172</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111,200</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were granted pursuant to the Issuer's Non-Employee Director Compensation Program (the "Program") in lieu of retainer fees. Each RSU represents the right to receive one (1) share of Common Stock, with settlement to take place either (i) on a date selected by the Reporting Person pursuant to the Program or (ii) as otherwise provided by the Program.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a family trust of which the Reporting Person is a trustee and beneficiary.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 Salha, as Attorney-in-Fact for Trevor Fetter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5447" TargetMode="External"/><Relationship Id="rId5" Type="http://schemas.openxmlformats.org/officeDocument/2006/relationships/hyperlink" Target="http://www.sec.gov/cgi-bin/browse-edgar?action=getcompany&amp;CIK=0001611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657</Words>
  <Characters>3537</Characters>
  <CharactersWithSpaces>4122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