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xml.htm"/>
      <w:bookmarkStart w:id="1" w:name="ksform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Gracey Craig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OMADA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BLVD,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Omada Health, Inc.</w:t>
              </w:r>
            </w:hyperlink>
            <w:r>
              <w:rPr/>
              <w:t xml:space="preserve"> [ </w:t>
            </w:r>
            <w:r>
              <w:rPr>
                <w:rFonts w:ascii="Times;serif" w:hAnsi="Times;serif"/>
                <w:color w:val="0000FF"/>
                <w:sz w:val="24"/>
                <w:shd w:fill="FFFFFF" w:val="clear"/>
              </w:rPr>
              <w:t>OMDA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06/16/2026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6.57</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22,335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6,894</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17.4243</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15,441</w:t>
            </w:r>
            <w:r>
              <w:rPr>
                <w:rFonts w:ascii="Times;serif" w:hAnsi="Times;serif"/>
                <w:color w:val="008000"/>
                <w:position w:val="7"/>
                <w:sz w:val="16"/>
                <w:sz w:val="20"/>
                <w:shd w:fill="FFFFFF" w:val="clear"/>
              </w:rPr>
              <w:t>(1)</w:t>
            </w:r>
            <w:r>
              <w:rPr/>
              <w:t xml:space="preserve"> </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restates in its entirety the original Form 4 filed on 6/16/2026 to report exercise transaction that was inadvertently omitted from the original filing. The exercise reported herein was part of a same-day exercise-and-sale transaction, and the corresponding sale was timely reported in the original Form 4. Due to the omission of this exercise transaction, the amount of securities beneficially owned following the sale was understated. The amount of securities beneficially owned has been adjusted in Box 5 of Table I of this Form 4/A to correct the aforementioned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Transaction made pursuant to a 10b5-1 trading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$17.04 to $17.71.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shares subject to the option vested on the first anniversary measured from September 9, 2024 (the "Vesting Commencement Date"), and 1/48th of the total number of shares vest monthly thereafter, such that 100% of the shares subject to the option will be fully vested and exercisable on the fourth anniversary of the Vesting Commencement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Salha, as Attorney-in-Fact for Craig Gracey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1724" TargetMode="External"/><Relationship Id="rId5" Type="http://schemas.openxmlformats.org/officeDocument/2006/relationships/hyperlink" Target="http://www.sec.gov/cgi-bin/browse-edgar?action=getcompany&amp;CIK=0001611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828</Words>
  <Characters>4442</Characters>
  <CharactersWithSpaces>5195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