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Gracey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16,482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15,441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6.57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10/23/2034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33,334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25% of the shares subject to the option vest on the first anniversary measured from September 9, 2024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Craig Gracey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1724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3598</Characters>
  <CharactersWithSpaces>4194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