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001-42679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4948" w:type="dxa"/>
        <w:jc w:val="center"/>
        <w:tblInd w:w="0" w:type="dxa"/>
        <w:tblLayout w:type="fixed"/>
        <w:tblCellMar>
          <w:top w:w="28" w:type="dxa"/>
          <w:left w:w="28" w:type="dxa"/>
          <w:bottom w:w="28" w:type="dxa"/>
          <w:right w:w="28" w:type="dxa"/>
        </w:tblCellMar>
      </w:tblPr>
      <w:tblGrid>
        <w:gridCol w:w="1193"/>
        <w:gridCol w:w="1047"/>
        <w:gridCol w:w="105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45-2355015</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611 Gateway Blvd, Suite 120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(888) 987-8337</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4" w:type="dxa"/>
        <w:jc w:val="left"/>
        <w:tblInd w:w="0" w:type="dxa"/>
        <w:tblLayout w:type="fixed"/>
        <w:tblCellMar>
          <w:top w:w="28" w:type="dxa"/>
          <w:left w:w="28" w:type="dxa"/>
          <w:bottom w:w="28" w:type="dxa"/>
          <w:right w:w="28" w:type="dxa"/>
        </w:tblCellMar>
      </w:tblPr>
      <w:tblGrid>
        <w:gridCol w:w="1293"/>
        <w:gridCol w:w="1132"/>
        <w:gridCol w:w="1145"/>
        <w:gridCol w:w="539"/>
        <w:gridCol w:w="539"/>
        <w:gridCol w:w="541"/>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5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OMDA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2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(the last trading day of the registrant’s most recently completed second quarter), the aggregate market value of the registrant’s common stock held by non-affiliates of the registrant was approximately $1.05 billion, based on the closing price of the registrant’s common stock on The Nasdaq Stock Market of $18.30 per share.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 2026, the registrant had 58,925,439 shares of common stock, $0.001 par value per share, outstanding.</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to be delivered to stockholders in connection with the 2026 annual meeting of stockholders are incorporated by reference in response to Part III of this Report to the extent stated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9"/>
        <w:gridCol w:w="324"/>
        <w:gridCol w:w="328"/>
        <w:gridCol w:w="2920"/>
        <w:gridCol w:w="2892"/>
        <w:gridCol w:w="2904"/>
        <w:gridCol w:w="136"/>
        <w:gridCol w:w="136"/>
        <w:gridCol w:w="196"/>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41d47451c94240ed97a8128572ac0cd2_689">
              <w:r>
                <w:rPr>
                  <w:rStyle w:val="InternetLink"/>
                  <w:rFonts w:ascii="Times New Roman;serif" w:hAnsi="Times New Roman;serif"/>
                  <w:b/>
                  <w:strike w:val="false"/>
                  <w:dstrike w:val="false"/>
                  <w:color w:val="000000"/>
                  <w:sz w:val="20"/>
                  <w:u w:val="none"/>
                  <w:effect w:val="none"/>
                </w:rPr>
                <w:t>PART I</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965">
              <w:r>
                <w:rPr>
                  <w:rStyle w:val="InternetLink"/>
                  <w:rFonts w:ascii="Times New Roman;serif" w:hAnsi="Times New Roman;serif"/>
                  <w:b w:val="false"/>
                  <w:strike w:val="false"/>
                  <w:dstrike w:val="false"/>
                  <w:color w:val="000000"/>
                  <w:sz w:val="20"/>
                  <w:u w:val="none"/>
                  <w:effect w:val="none"/>
                </w:rPr>
                <w:t>Business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965">
              <w:r>
                <w:rPr>
                  <w:rStyle w:val="InternetLink"/>
                  <w:rFonts w:ascii="Times New Roman;serif" w:hAnsi="Times New Roman;serif"/>
                  <w:b w:val="false"/>
                  <w:strike w:val="false"/>
                  <w:dstrike w:val="false"/>
                  <w:color w:val="000000"/>
                  <w:sz w:val="20"/>
                  <w:u w:val="none"/>
                  <w:effect w:val="none"/>
                </w:rPr>
                <w:t>3</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145">
              <w:r>
                <w:rPr>
                  <w:rStyle w:val="InternetLink"/>
                  <w:rFonts w:ascii="Times New Roman;serif" w:hAnsi="Times New Roman;serif"/>
                  <w:b w:val="false"/>
                  <w:strike w:val="false"/>
                  <w:dstrike w:val="false"/>
                  <w:color w:val="000000"/>
                  <w:sz w:val="20"/>
                  <w:u w:val="none"/>
                  <w:effect w:val="none"/>
                </w:rPr>
                <w:t>Risk Factors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45">
              <w:r>
                <w:rPr>
                  <w:rStyle w:val="InternetLink"/>
                  <w:rFonts w:ascii="Times New Roman;serif" w:hAnsi="Times New Roman;serif"/>
                  <w:b w:val="false"/>
                  <w:strike w:val="false"/>
                  <w:dstrike w:val="false"/>
                  <w:color w:val="000000"/>
                  <w:sz w:val="20"/>
                  <w:u w:val="none"/>
                  <w:effect w:val="none"/>
                </w:rPr>
                <w:t>16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707">
              <w:r>
                <w:rPr>
                  <w:rStyle w:val="InternetLink"/>
                  <w:rFonts w:ascii="Times New Roman;serif" w:hAnsi="Times New Roman;serif"/>
                  <w:b w:val="false"/>
                  <w:strike w:val="false"/>
                  <w:dstrike w:val="false"/>
                  <w:color w:val="000000"/>
                  <w:sz w:val="20"/>
                  <w:u w:val="none"/>
                  <w:effect w:val="none"/>
                </w:rPr>
                <w:t>Unresolved Staff Comments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707">
              <w:r>
                <w:rPr>
                  <w:rStyle w:val="InternetLink"/>
                  <w:rFonts w:ascii="Times New Roman;serif" w:hAnsi="Times New Roman;serif"/>
                  <w:b w:val="false"/>
                  <w:strike w:val="false"/>
                  <w:dstrike w:val="false"/>
                  <w:color w:val="000000"/>
                  <w:sz w:val="20"/>
                  <w:u w:val="none"/>
                  <w:effect w:val="none"/>
                </w:rPr>
                <w:t>67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1024">
              <w:r>
                <w:rPr>
                  <w:rStyle w:val="InternetLink"/>
                  <w:rFonts w:ascii="Times New Roman;serif" w:hAnsi="Times New Roman;serif"/>
                  <w:b w:val="false"/>
                  <w:strike w:val="false"/>
                  <w:dstrike w:val="false"/>
                  <w:color w:val="000080"/>
                  <w:sz w:val="20"/>
                  <w:u w:val="single"/>
                  <w:effect w:val="none"/>
                </w:rPr>
                <w:t>C</w:t>
              </w:r>
            </w:hyperlink>
            <w:hyperlink w:anchor="i41d47451c94240ed97a8128572ac0cd2_1024">
              <w:r>
                <w:rPr>
                  <w:rStyle w:val="InternetLink"/>
                  <w:rFonts w:ascii="Times New Roman;serif" w:hAnsi="Times New Roman;serif"/>
                  <w:b w:val="false"/>
                  <w:strike w:val="false"/>
                  <w:dstrike w:val="false"/>
                  <w:color w:val="000080"/>
                  <w:sz w:val="20"/>
                  <w:u w:val="single"/>
                  <w:effect w:val="none"/>
                </w:rPr>
                <w:t>ybersecurity</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714">
              <w:r>
                <w:rPr>
                  <w:rStyle w:val="InternetLink"/>
                  <w:rFonts w:ascii="Times New Roman;serif" w:hAnsi="Times New Roman;serif"/>
                  <w:b w:val="false"/>
                  <w:strike w:val="false"/>
                  <w:dstrike w:val="false"/>
                  <w:color w:val="000000"/>
                  <w:sz w:val="20"/>
                  <w:u w:val="none"/>
                  <w:effect w:val="none"/>
                </w:rPr>
                <w:t>Properties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714">
              <w:r>
                <w:rPr>
                  <w:rStyle w:val="InternetLink"/>
                  <w:rFonts w:ascii="Times New Roman;serif" w:hAnsi="Times New Roman;serif"/>
                  <w:b w:val="false"/>
                  <w:strike w:val="false"/>
                  <w:dstrike w:val="false"/>
                  <w:color w:val="000000"/>
                  <w:sz w:val="20"/>
                  <w:u w:val="none"/>
                  <w:effect w:val="none"/>
                </w:rPr>
                <w:t>68</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bookmarkStart w:id="0" w:name="i705f240c47e74442ba7afde5aa15d0e1_5-0-4-"/>
            <w:bookmarkEnd w:id="0"/>
            <w:r>
              <w:rPr>
                <w:rFonts w:ascii="Times New Roman;serif" w:hAnsi="Times New Roman;serif"/>
                <w:b w:val="false"/>
                <w:color w:val="000000"/>
                <w:sz w:val="20"/>
              </w:rPr>
              <w:t>Item 3.</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142">
              <w:r>
                <w:rPr>
                  <w:rStyle w:val="InternetLink"/>
                  <w:rFonts w:ascii="Times New Roman;serif" w:hAnsi="Times New Roman;serif"/>
                  <w:b w:val="false"/>
                  <w:strike w:val="false"/>
                  <w:dstrike w:val="false"/>
                  <w:color w:val="000000"/>
                  <w:sz w:val="20"/>
                  <w:u w:val="none"/>
                  <w:effect w:val="none"/>
                </w:rPr>
                <w:t xml:space="preserve">Legal Proceedings </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42">
              <w:r>
                <w:rPr>
                  <w:rStyle w:val="InternetLink"/>
                  <w:rFonts w:ascii="Times New Roman;serif" w:hAnsi="Times New Roman;serif"/>
                  <w:b w:val="false"/>
                  <w:strike w:val="false"/>
                  <w:dstrike w:val="false"/>
                  <w:color w:val="000000"/>
                  <w:sz w:val="20"/>
                  <w:u w:val="none"/>
                  <w:effect w:val="none"/>
                </w:rPr>
                <w:t>68</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154">
              <w:r>
                <w:rPr>
                  <w:rStyle w:val="InternetLink"/>
                  <w:rFonts w:ascii="Times New Roman;serif" w:hAnsi="Times New Roman;serif"/>
                  <w:b w:val="false"/>
                  <w:strike w:val="false"/>
                  <w:dstrike w:val="false"/>
                  <w:color w:val="000000"/>
                  <w:sz w:val="20"/>
                  <w:u w:val="none"/>
                  <w:effect w:val="none"/>
                </w:rPr>
                <w:t>Mine Safety Disclosures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54">
              <w:r>
                <w:rPr>
                  <w:rStyle w:val="InternetLink"/>
                  <w:rFonts w:ascii="Times New Roman;serif" w:hAnsi="Times New Roman;serif"/>
                  <w:b w:val="false"/>
                  <w:strike w:val="false"/>
                  <w:dstrike w:val="false"/>
                  <w:color w:val="000000"/>
                  <w:sz w:val="20"/>
                  <w:u w:val="none"/>
                  <w:effect w:val="none"/>
                </w:rPr>
                <w:t>68</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1d47451c94240ed97a8128572ac0cd2_730">
              <w:r>
                <w:rPr>
                  <w:rStyle w:val="InternetLink"/>
                  <w:rFonts w:ascii="Times New Roman;serif" w:hAnsi="Times New Roman;serif"/>
                  <w:b/>
                  <w:strike w:val="false"/>
                  <w:dstrike w:val="false"/>
                  <w:color w:val="000000"/>
                  <w:sz w:val="20"/>
                  <w:u w:val="none"/>
                  <w:effect w:val="none"/>
                </w:rPr>
                <w:t>PART II</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34">
              <w:r>
                <w:rPr>
                  <w:rStyle w:val="InternetLink"/>
                  <w:rFonts w:ascii="Times New Roman;serif" w:hAnsi="Times New Roman;serif"/>
                  <w:b w:val="false"/>
                  <w:strike w:val="false"/>
                  <w:dstrike w:val="false"/>
                  <w:color w:val="000000"/>
                  <w:sz w:val="20"/>
                  <w:u w:val="none"/>
                  <w:effect w:val="none"/>
                </w:rPr>
                <w:t>Item 5.</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737">
              <w:r>
                <w:rPr>
                  <w:rStyle w:val="InternetLink"/>
                  <w:rFonts w:ascii="Times New Roman;serif" w:hAnsi="Times New Roman;serif"/>
                  <w:b w:val="false"/>
                  <w:strike w:val="false"/>
                  <w:dstrike w:val="false"/>
                  <w:color w:val="000000"/>
                  <w:sz w:val="20"/>
                  <w:u w:val="none"/>
                  <w:effect w:val="none"/>
                </w:rPr>
                <w:t>Market for the Registrant’s Common Equity, Related Stockholder Matters, and Issuer Purchases of Equity Securities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737">
              <w:r>
                <w:rPr>
                  <w:rStyle w:val="InternetLink"/>
                  <w:rFonts w:ascii="Times New Roman;serif" w:hAnsi="Times New Roman;serif"/>
                  <w:b w:val="false"/>
                  <w:strike w:val="false"/>
                  <w:dstrike w:val="false"/>
                  <w:color w:val="000000"/>
                  <w:sz w:val="20"/>
                  <w:u w:val="none"/>
                  <w:effect w:val="none"/>
                </w:rPr>
                <w:t>68</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744">
              <w:r>
                <w:rPr>
                  <w:rStyle w:val="InternetLink"/>
                  <w:rFonts w:ascii="Times New Roman;serif" w:hAnsi="Times New Roman;serif"/>
                  <w:b w:val="false"/>
                  <w:strike w:val="false"/>
                  <w:dstrike w:val="false"/>
                  <w:color w:val="000000"/>
                  <w:sz w:val="20"/>
                  <w:u w:val="none"/>
                  <w:effect w:val="none"/>
                </w:rPr>
                <w:t>[ Reserved ]</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76">
              <w:r>
                <w:rPr>
                  <w:rStyle w:val="InternetLink"/>
                  <w:rFonts w:ascii="Times New Roman;serif" w:hAnsi="Times New Roman;serif"/>
                  <w:b w:val="false"/>
                  <w:strike w:val="false"/>
                  <w:dstrike w:val="false"/>
                  <w:color w:val="000000"/>
                  <w:sz w:val="20"/>
                  <w:u w:val="none"/>
                  <w:effect w:val="none"/>
                </w:rPr>
                <w:t>71</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76">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76">
              <w:r>
                <w:rPr>
                  <w:rStyle w:val="InternetLink"/>
                  <w:rFonts w:ascii="Times New Roman;serif" w:hAnsi="Times New Roman;serif"/>
                  <w:b w:val="false"/>
                  <w:strike w:val="false"/>
                  <w:dstrike w:val="false"/>
                  <w:color w:val="000000"/>
                  <w:sz w:val="20"/>
                  <w:u w:val="none"/>
                  <w:effect w:val="none"/>
                </w:rPr>
                <w:t>71</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133">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33">
              <w:r>
                <w:rPr>
                  <w:rStyle w:val="InternetLink"/>
                  <w:rFonts w:ascii="Times New Roman;serif" w:hAnsi="Times New Roman;serif"/>
                  <w:b w:val="false"/>
                  <w:strike w:val="false"/>
                  <w:dstrike w:val="false"/>
                  <w:color w:val="000000"/>
                  <w:sz w:val="20"/>
                  <w:u w:val="none"/>
                  <w:effect w:val="none"/>
                </w:rPr>
                <w:t>88</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10">
              <w:r>
                <w:rPr>
                  <w:rStyle w:val="InternetLink"/>
                  <w:rFonts w:ascii="Times New Roman;serif" w:hAnsi="Times New Roman;serif"/>
                  <w:b w:val="false"/>
                  <w:strike w:val="false"/>
                  <w:dstrike w:val="false"/>
                  <w:color w:val="000000"/>
                  <w:sz w:val="20"/>
                  <w:u w:val="none"/>
                  <w:effect w:val="none"/>
                </w:rPr>
                <w:t>Financial Statements and Supplementary Data</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0">
              <w:r>
                <w:rPr>
                  <w:rStyle w:val="InternetLink"/>
                  <w:rFonts w:ascii="Times New Roman;serif" w:hAnsi="Times New Roman;serif"/>
                  <w:b w:val="false"/>
                  <w:strike w:val="false"/>
                  <w:dstrike w:val="false"/>
                  <w:color w:val="000000"/>
                  <w:sz w:val="20"/>
                  <w:u w:val="none"/>
                  <w:effect w:val="none"/>
                </w:rPr>
                <w:t>89</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876">
              <w:r>
                <w:rPr>
                  <w:rStyle w:val="InternetLink"/>
                  <w:rFonts w:ascii="Times New Roman;serif" w:hAnsi="Times New Roman;serif"/>
                  <w:b w:val="false"/>
                  <w:strike w:val="false"/>
                  <w:dstrike w:val="false"/>
                  <w:color w:val="000000"/>
                  <w:sz w:val="20"/>
                  <w:u w:val="none"/>
                  <w:effect w:val="none"/>
                </w:rPr>
                <w:t>Changes in and Disagreements with Accountants on Accounting and Financial Disclosure</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876">
              <w:r>
                <w:rPr>
                  <w:rStyle w:val="InternetLink"/>
                  <w:rFonts w:ascii="Times New Roman;serif" w:hAnsi="Times New Roman;serif"/>
                  <w:b w:val="false"/>
                  <w:strike w:val="false"/>
                  <w:dstrike w:val="false"/>
                  <w:color w:val="000000"/>
                  <w:sz w:val="20"/>
                  <w:u w:val="none"/>
                  <w:effect w:val="none"/>
                </w:rPr>
                <w:t>122</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136">
              <w:r>
                <w:rPr>
                  <w:rStyle w:val="InternetLink"/>
                  <w:rFonts w:ascii="Times New Roman;serif" w:hAnsi="Times New Roman;serif"/>
                  <w:b w:val="false"/>
                  <w:strike w:val="false"/>
                  <w:dstrike w:val="false"/>
                  <w:color w:val="000000"/>
                  <w:sz w:val="20"/>
                  <w:u w:val="none"/>
                  <w:effect w:val="none"/>
                </w:rPr>
                <w:t>Controls and Procedures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36">
              <w:r>
                <w:rPr>
                  <w:rStyle w:val="InternetLink"/>
                  <w:rFonts w:ascii="Times New Roman;serif" w:hAnsi="Times New Roman;serif"/>
                  <w:b w:val="false"/>
                  <w:strike w:val="false"/>
                  <w:dstrike w:val="false"/>
                  <w:color w:val="000000"/>
                  <w:sz w:val="20"/>
                  <w:u w:val="none"/>
                  <w:effect w:val="none"/>
                </w:rPr>
                <w:t>122</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885">
              <w:r>
                <w:rPr>
                  <w:rStyle w:val="InternetLink"/>
                  <w:rFonts w:ascii="Times New Roman;serif" w:hAnsi="Times New Roman;serif"/>
                  <w:b w:val="false"/>
                  <w:strike w:val="false"/>
                  <w:dstrike w:val="false"/>
                  <w:color w:val="000000"/>
                  <w:sz w:val="20"/>
                  <w:u w:val="none"/>
                  <w:effect w:val="none"/>
                </w:rPr>
                <w:t>Other Information</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885">
              <w:r>
                <w:rPr>
                  <w:rStyle w:val="InternetLink"/>
                  <w:rFonts w:ascii="Times New Roman;serif" w:hAnsi="Times New Roman;serif"/>
                  <w:b w:val="false"/>
                  <w:strike w:val="false"/>
                  <w:dstrike w:val="false"/>
                  <w:color w:val="000000"/>
                  <w:sz w:val="20"/>
                  <w:u w:val="none"/>
                  <w:effect w:val="none"/>
                </w:rPr>
                <w:t>124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891">
              <w:r>
                <w:rPr>
                  <w:rStyle w:val="InternetLink"/>
                  <w:rFonts w:ascii="Times New Roman;serif" w:hAnsi="Times New Roman;serif"/>
                  <w:b w:val="false"/>
                  <w:strike w:val="false"/>
                  <w:dstrike w:val="false"/>
                  <w:color w:val="000000"/>
                  <w:sz w:val="20"/>
                  <w:u w:val="none"/>
                  <w:effect w:val="none"/>
                </w:rPr>
                <w:t>Disclosure Regarding Foreign Jurisdiction that Prevent Inspections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891">
              <w:r>
                <w:rPr>
                  <w:rStyle w:val="InternetLink"/>
                  <w:rFonts w:ascii="Times New Roman;serif" w:hAnsi="Times New Roman;serif"/>
                  <w:b w:val="false"/>
                  <w:strike w:val="false"/>
                  <w:dstrike w:val="false"/>
                  <w:color w:val="000000"/>
                  <w:sz w:val="20"/>
                  <w:u w:val="none"/>
                  <w:effect w:val="none"/>
                </w:rPr>
                <w:t>124</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1d47451c94240ed97a8128572ac0cd2_139">
              <w:r>
                <w:rPr>
                  <w:rStyle w:val="InternetLink"/>
                  <w:rFonts w:ascii="Times New Roman;serif" w:hAnsi="Times New Roman;serif"/>
                  <w:b/>
                  <w:strike w:val="false"/>
                  <w:dstrike w:val="false"/>
                  <w:color w:val="000000"/>
                  <w:sz w:val="20"/>
                  <w:u w:val="none"/>
                  <w:effect w:val="none"/>
                </w:rPr>
                <w:t>PART III</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902">
              <w:r>
                <w:rPr>
                  <w:rStyle w:val="InternetLink"/>
                  <w:rFonts w:ascii="Times New Roman;serif" w:hAnsi="Times New Roman;serif"/>
                  <w:b w:val="false"/>
                  <w:strike w:val="false"/>
                  <w:dstrike w:val="false"/>
                  <w:color w:val="000000"/>
                  <w:sz w:val="20"/>
                  <w:u w:val="none"/>
                  <w:effect w:val="none"/>
                </w:rPr>
                <w:t>Directors, Executive Officers, and Corporate Governance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902">
              <w:r>
                <w:rPr>
                  <w:rStyle w:val="InternetLink"/>
                  <w:rFonts w:ascii="Times New Roman;serif" w:hAnsi="Times New Roman;serif"/>
                  <w:b w:val="false"/>
                  <w:strike w:val="false"/>
                  <w:dstrike w:val="false"/>
                  <w:color w:val="000000"/>
                  <w:sz w:val="20"/>
                  <w:u w:val="none"/>
                  <w:effect w:val="none"/>
                </w:rPr>
                <w:t>125</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923">
              <w:r>
                <w:rPr>
                  <w:rStyle w:val="InternetLink"/>
                  <w:rFonts w:ascii="Times New Roman;serif" w:hAnsi="Times New Roman;serif"/>
                  <w:b w:val="false"/>
                  <w:strike w:val="false"/>
                  <w:dstrike w:val="false"/>
                  <w:color w:val="000000"/>
                  <w:sz w:val="20"/>
                  <w:u w:val="none"/>
                  <w:effect w:val="none"/>
                </w:rPr>
                <w:t>Executive Compensation</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923">
              <w:r>
                <w:rPr>
                  <w:rStyle w:val="InternetLink"/>
                  <w:rFonts w:ascii="Times New Roman;serif" w:hAnsi="Times New Roman;serif"/>
                  <w:b w:val="false"/>
                  <w:strike w:val="false"/>
                  <w:dstrike w:val="false"/>
                  <w:color w:val="000000"/>
                  <w:sz w:val="20"/>
                  <w:u w:val="none"/>
                  <w:effect w:val="none"/>
                </w:rPr>
                <w:t>125</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918">
              <w:r>
                <w:rPr>
                  <w:rStyle w:val="InternetLink"/>
                  <w:rFonts w:ascii="Times New Roman;serif" w:hAnsi="Times New Roman;serif"/>
                  <w:b w:val="false"/>
                  <w:strike w:val="false"/>
                  <w:dstrike w:val="false"/>
                  <w:color w:val="000000"/>
                  <w:sz w:val="20"/>
                  <w:u w:val="none"/>
                  <w:effect w:val="none"/>
                </w:rPr>
                <w:t>Security Ownership of Certain Beneficial Owners and Management and Related Stockholder Matters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918">
              <w:r>
                <w:rPr>
                  <w:rStyle w:val="InternetLink"/>
                  <w:rFonts w:ascii="Times New Roman;serif" w:hAnsi="Times New Roman;serif"/>
                  <w:b w:val="false"/>
                  <w:strike w:val="false"/>
                  <w:dstrike w:val="false"/>
                  <w:color w:val="000000"/>
                  <w:sz w:val="20"/>
                  <w:u w:val="none"/>
                  <w:effect w:val="none"/>
                </w:rPr>
                <w:t>125</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913">
              <w:r>
                <w:rPr>
                  <w:rStyle w:val="InternetLink"/>
                  <w:rFonts w:ascii="Times New Roman;serif" w:hAnsi="Times New Roman;serif"/>
                  <w:b w:val="false"/>
                  <w:strike w:val="false"/>
                  <w:dstrike w:val="false"/>
                  <w:color w:val="000080"/>
                  <w:sz w:val="20"/>
                  <w:u w:val="single"/>
                  <w:effect w:val="none"/>
                </w:rPr>
                <w:t xml:space="preserve">Certain </w:t>
              </w:r>
            </w:hyperlink>
            <w:hyperlink w:anchor="i41d47451c94240ed97a8128572ac0cd2_913">
              <w:r>
                <w:rPr>
                  <w:rStyle w:val="InternetLink"/>
                  <w:rFonts w:ascii="Times New Roman;serif" w:hAnsi="Times New Roman;serif"/>
                  <w:b w:val="false"/>
                  <w:strike w:val="false"/>
                  <w:dstrike w:val="false"/>
                  <w:color w:val="000080"/>
                  <w:sz w:val="20"/>
                  <w:u w:val="single"/>
                  <w:effect w:val="none"/>
                </w:rPr>
                <w:t>Relationships</w:t>
              </w:r>
            </w:hyperlink>
            <w:hyperlink w:anchor="i41d47451c94240ed97a8128572ac0cd2_913">
              <w:r>
                <w:rPr>
                  <w:rStyle w:val="InternetLink"/>
                  <w:rFonts w:ascii="Times New Roman;serif" w:hAnsi="Times New Roman;serif"/>
                  <w:b w:val="false"/>
                  <w:strike w:val="false"/>
                  <w:dstrike w:val="false"/>
                  <w:color w:val="000080"/>
                  <w:sz w:val="20"/>
                  <w:u w:val="single"/>
                  <w:effect w:val="none"/>
                </w:rPr>
                <w:t xml:space="preserve"> and </w:t>
              </w:r>
            </w:hyperlink>
            <w:hyperlink w:anchor="i41d47451c94240ed97a8128572ac0cd2_913">
              <w:r>
                <w:rPr>
                  <w:rStyle w:val="InternetLink"/>
                  <w:rFonts w:ascii="Times New Roman;serif" w:hAnsi="Times New Roman;serif"/>
                  <w:b w:val="false"/>
                  <w:strike w:val="false"/>
                  <w:dstrike w:val="false"/>
                  <w:color w:val="000080"/>
                  <w:sz w:val="20"/>
                  <w:u w:val="single"/>
                  <w:effect w:val="none"/>
                </w:rPr>
                <w:t>Related Transactions, and Director Independence</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913">
              <w:r>
                <w:rPr>
                  <w:rStyle w:val="InternetLink"/>
                  <w:rFonts w:ascii="Times New Roman;serif" w:hAnsi="Times New Roman;serif"/>
                  <w:b w:val="false"/>
                  <w:strike w:val="false"/>
                  <w:dstrike w:val="false"/>
                  <w:color w:val="000000"/>
                  <w:sz w:val="20"/>
                  <w:u w:val="none"/>
                  <w:effect w:val="none"/>
                </w:rPr>
                <w:t>125</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908">
              <w:r>
                <w:rPr>
                  <w:rStyle w:val="InternetLink"/>
                  <w:rFonts w:ascii="Times New Roman;serif" w:hAnsi="Times New Roman;serif"/>
                  <w:b w:val="false"/>
                  <w:strike w:val="false"/>
                  <w:dstrike w:val="false"/>
                  <w:color w:val="000000"/>
                  <w:sz w:val="20"/>
                  <w:u w:val="none"/>
                  <w:effect w:val="none"/>
                </w:rPr>
                <w:t>Principal Accountant Fees and Services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908">
              <w:r>
                <w:rPr>
                  <w:rStyle w:val="InternetLink"/>
                  <w:rFonts w:ascii="Times New Roman;serif" w:hAnsi="Times New Roman;serif"/>
                  <w:b w:val="false"/>
                  <w:strike w:val="false"/>
                  <w:dstrike w:val="false"/>
                  <w:color w:val="000000"/>
                  <w:sz w:val="20"/>
                  <w:u w:val="none"/>
                  <w:effect w:val="none"/>
                </w:rPr>
                <w:t>125</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1d47451c94240ed97a8128572ac0cd2_944">
              <w:r>
                <w:rPr>
                  <w:rStyle w:val="InternetLink"/>
                  <w:rFonts w:ascii="Times New Roman;serif" w:hAnsi="Times New Roman;serif"/>
                  <w:b/>
                  <w:strike w:val="false"/>
                  <w:dstrike w:val="false"/>
                  <w:color w:val="000000"/>
                  <w:sz w:val="20"/>
                  <w:u w:val="none"/>
                  <w:effect w:val="none"/>
                </w:rPr>
                <w:t>PART IV</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163">
              <w:r>
                <w:rPr>
                  <w:rStyle w:val="InternetLink"/>
                  <w:rFonts w:ascii="Times New Roman;serif" w:hAnsi="Times New Roman;serif"/>
                  <w:b w:val="false"/>
                  <w:strike w:val="false"/>
                  <w:dstrike w:val="false"/>
                  <w:color w:val="000000"/>
                  <w:sz w:val="20"/>
                  <w:u w:val="none"/>
                  <w:effect w:val="none"/>
                </w:rPr>
                <w:t>Exhibits and Financial Statement Schedules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63">
              <w:r>
                <w:rPr>
                  <w:rStyle w:val="InternetLink"/>
                  <w:rFonts w:ascii="Times New Roman;serif" w:hAnsi="Times New Roman;serif"/>
                  <w:b w:val="false"/>
                  <w:strike w:val="false"/>
                  <w:dstrike w:val="false"/>
                  <w:color w:val="000000"/>
                  <w:sz w:val="20"/>
                  <w:u w:val="none"/>
                  <w:effect w:val="none"/>
                </w:rPr>
                <w:t>126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956">
              <w:r>
                <w:rPr>
                  <w:rStyle w:val="InternetLink"/>
                  <w:rFonts w:ascii="Times New Roman;serif" w:hAnsi="Times New Roman;serif"/>
                  <w:b w:val="false"/>
                  <w:strike w:val="false"/>
                  <w:dstrike w:val="false"/>
                  <w:color w:val="000000"/>
                  <w:sz w:val="20"/>
                  <w:u w:val="none"/>
                  <w:effect w:val="none"/>
                </w:rPr>
                <w:t>Form 10-K Summary</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956">
              <w:r>
                <w:rPr>
                  <w:rStyle w:val="InternetLink"/>
                  <w:rFonts w:ascii="Times New Roman;serif" w:hAnsi="Times New Roman;serif"/>
                  <w:b w:val="false"/>
                  <w:strike w:val="false"/>
                  <w:dstrike w:val="false"/>
                  <w:color w:val="000000"/>
                  <w:sz w:val="20"/>
                  <w:u w:val="none"/>
                  <w:effect w:val="none"/>
                </w:rPr>
                <w:t>126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d47451c94240ed97a8128572ac0cd2_166">
              <w:r>
                <w:rPr>
                  <w:rStyle w:val="InternetLink"/>
                  <w:rFonts w:ascii="Times New Roman;serif" w:hAnsi="Times New Roman;serif"/>
                  <w:b/>
                  <w:strike w:val="false"/>
                  <w:dstrike w:val="false"/>
                  <w:color w:val="000000"/>
                  <w:sz w:val="20"/>
                  <w:u w:val="none"/>
                  <w:effect w:val="none"/>
                </w:rPr>
                <w:t>Signatures</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66">
              <w:r>
                <w:rPr>
                  <w:rStyle w:val="InternetLink"/>
                  <w:rFonts w:ascii="Times New Roman;serif" w:hAnsi="Times New Roman;serif"/>
                  <w:b w:val="false"/>
                  <w:strike w:val="false"/>
                  <w:dstrike w:val="false"/>
                  <w:color w:val="000000"/>
                  <w:sz w:val="20"/>
                  <w:u w:val="none"/>
                  <w:effect w:val="none"/>
                </w:rPr>
                <w:t>127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includes forward-looking statements within the meaning of Section 27A of the Securities Act of 1933, as amended (the “Securities Act”), Section 21E of the Securities Exchange Act of 1934, as amended (the “Exchange Act”), and the Private Securities Litigation Reform Act of 1995. These forward-looking statements can be identified by the use of forward-looking terminology, including the words “believe,” “estimate,” “anticipate,” “expect,” “assume,” “imply,” “intend,” “plan,” “may,” “will,” “potential,” “project,” “predict,” “continue,” “could,” “confident,” “confidence,” or “should,” or, in each case, their plural, their negative or other variations, or comparable terminology. There can be no assurance that actual results will not materially differ from expectations. Such statements include, but are not limited to, any statements relating to our financial and business performance, including with respect to the Omada Health platform, our marketing campaigns, investments in innovation, the solutions accessible on our platform, and our infrastructure, and the underlying assumptions with respect to the foregoing; statements relating to events and trends relevant to us, including with respect to our regulatory environment, financial condition, results of operations, short- and long-term business operations, objectives, and financial needs; expectations regarding our mobile applications, market acceptance, user experience, customer retention, brand development, our ability to invest and generate a return on any such investment, customer acquisition costs, operating efficiencies and leverage (including our fulfillment capabilities), the effect of any pricing decisions, changes in our product and offering mix, the timing and market acceptance of any new products or offerings, the timing and anticipated effect of any pending or recently completed acquisitions, the success of our business model, our market opportunity, our ability to scale our business and expand internationally, the growth of certain of our specialties, our ability to innovate on and expand the scope of our offerings and experiences, including through the use of data analytics and artificial intelligence, our ability to reinvest into the customer experience, our ability to comply with the extensive, complex, and evolving legal and regulatory requirements applicable to our business, including without limitation state and federal healthcare, privacy and consumer protection laws and regulations, and the effect or outcome of litigation or governmental actions in relation to any such legal and regulatory requirements. We caution you that the foregoing list does not contain all of the forward-looking statements made in this Annual Report on Form 10-K.</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Annual Report on Form 10-K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discussed in the sections entitled “Business,” “Risk Factors,” and “Management’s Discussion and Analysis of Financial Condition and Results of Operations” in this Annual Report on Form 10-K, as well as other documents that may be filed by us from time to time with the U.S. Securities and Exchange Commission (the “SEC”). Should one or more of these risks or uncertainties materialize, or should any of our assumptions prove incorrect, actual results may vary in material respects from those projected in these forward-looking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made in this Annual Report on Form 10-K relate only to events as of the date on which the statements are made available. We undertake no obligation (and expressly disclaim any obligation) to update or revise any forward-looking statements, whether as a result of new information, future events or otherwise, except as may be required under applicable securities laws.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the forward-looking statements in this Annual Report on Form 10-K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deliver virtual care between doctor’s visits, providing an engaging, personalized, and integrated experience for the individuals in our programs, which we call our “members.” Our care is designed to improve their health while delivering value for the employers, health insurance companies (“health plans”), health systems, pharmacy benefit managers (“PBMs”), and other entities that cover the cost of our programs. Our platform is grounded in evidence and supported by peer-reviewed clinical research and third-party accreditations, which we believe enhances credibility with customers, our reseller partners, and other stakeholders. We differentiate through our human-led, technology-enabled care model, which combines proactive Care Teams with data-driven tools to deliver personalized support at scale. We call this approach Compassionate Intelligence. We work to develop trust with each member and use technology to help us personalize their experience, enabling us to unlock results at scale.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founding, our programs have had a meaningful, positive impact. As of December 31, 2025, we had more than 2,000 customers, over 886,000 total members enrolled in one or more programs, and had supported nearly two million members since launch. We sell our programs to customers that cover the cost for covered individuals, either by contracting with us directly or by arranging access through entities that we call “channel partners,” which resell our programs to their own end customers.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As of December 2025, more than 55% of members in month 12 and more than 50% of members in month 24 of our cardiometabolic programs still engaged with the platform at least once during the respective month. We consider members to be still engaged after one year or two years in the program if, during their twelfth or twenty-fourth month of program participation in a cardiometabolic program, they complete at least one interaction with us, such as logging in or interacting with the Omada mobile app, sending messages to Omada Care Team members, or recording metrics such as weight, blood pressure, or blood glucose values.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we compete effectively based on a combination of clinical rigor, differentiated care delivery, and a scalable go-to-market strategy. In addition, our multi-condition platform enables customers and members to access support for multiple conditions through a single partner, and the high rate of comorbidities across these conditions can be addressed in a more coordinated manner. Our diversified go-to-market strategy further allows flexible deployment across employers, health plans, PBMs, and other channels, supporting broad adoption and long-term relationships.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Our Programs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Omada Cardiometabolic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launched our first program focused on diabetes prevention in 2012. Since then, we also observed a demand from our customers and channel partners to expand beyond diabetes prevention and weight management and into other conditions, such as the treatment and management of diabetes, hypertension, and high cholesterol as well as supporting members on their glucagon-like peptide-1 agonists (“GLP-1”) weight-loss journeys. We refer to these as our “Cardiometabolic Programs.” The significant overlap across these chronic conditions created a natural growth avenue by enabling a coordinated, context-informed care approach across conditions. Within our Cardiometabolic Programs, we pair members with a dedicated health coach and/or a Certified Diabetes Care and Education Specialist, when clinically appropriate, for the entirety of their experience. We further support our members with third-party connected devices such as connected scales, blood glucose monitors, continuous glucose monitors, and blood pressure monitors, depending on their individual needs, a personalized learning path, nutrition counseling, and support from peer groups to build community.</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Omada for Prevention &amp; Weight Health</w:t>
      </w:r>
      <w:r>
        <w:rPr>
          <w:rFonts w:ascii="Times New Roman;serif" w:hAnsi="Times New Roman;serif"/>
          <w:b w:val="false"/>
          <w:color w:val="000000"/>
          <w:sz w:val="20"/>
        </w:rPr>
        <w:t xml:space="preserve">: Omada for Prevention &amp; Weight Health, our first program, focuses on prediabetes and weight management, two critical elements of preventing diabetes and heart disease. Informed by guidelines and recommendations set by the U.S. Preventive Services Task Force and the Centers for Disease Control and Prevention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 xml:space="preserve">CDC”, the goal of the program is to enable members to lose weight, maintain a healthy weight, and increase physical activity. </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Omada for Diabetes</w:t>
      </w:r>
      <w:r>
        <w:rPr>
          <w:rFonts w:ascii="Times New Roman;serif" w:hAnsi="Times New Roman;serif"/>
          <w:b w:val="false"/>
          <w:color w:val="000000"/>
          <w:sz w:val="20"/>
        </w:rPr>
        <w:t xml:space="preserve">: Launched in 2018, Omada for Diabetes is designed to help members with type 1 or type 2 diabetes achieve stable blood glucose levels and meet and reach their A1C reduction goals based in part on treatment guidelines from the ADA. Because most people with type 2 diabetes have obesity or are overweight, we also support members with reaching and maintaining a healthy weight through modifications in diet, exercise, and other behaviors. </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Omada for Hypertension</w:t>
      </w:r>
      <w:r>
        <w:rPr>
          <w:rFonts w:ascii="Times New Roman;serif" w:hAnsi="Times New Roman;serif"/>
          <w:b w:val="false"/>
          <w:color w:val="000000"/>
          <w:sz w:val="20"/>
        </w:rPr>
        <w:t xml:space="preserve">: Also launched in 2018, Omada for Hypertension is designed to help reduce members’ blood pressure and help them maintain healthy blood pressure based on clinical protocols recommended by the American Medical Association, the American College of Cardiology, and the American Heart Association. As with type 2 diabetes, hypertension is often comorbid with obesity. We support members in need of weight management in reaching and maintaining a healthy weight through modifications to diet, exercise, and other behaviors. </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Omada for Cholesterol</w:t>
      </w:r>
      <w:r>
        <w:rPr>
          <w:rFonts w:ascii="Times New Roman;serif" w:hAnsi="Times New Roman;serif"/>
          <w:b w:val="false"/>
          <w:color w:val="000000"/>
          <w:sz w:val="20"/>
        </w:rPr>
        <w:t>: With the first commercial launch expected in 2026 and broad launch planned for 2027, Omada for Cholesterol is designed to help support members with high cholesterol by providing personalized cholesterol support, guidance from a clinical specialist, lessons, and goal setting. This program builds on our current cardiometabolic offerings by providing enrolled members the support they need to make managing lipid risk visible, actionable, and sustainable over time.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Omada GLP-1 Care Track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First launched in 2023, the initial version of our GLP-1 Care Track, currently embedded in our cardiometabolic programs, supports members on a GLP-1 therapy, a class of drugs used to treat certain cardiometabolic conditions, such as diabetes and obesity. This GLP-1 Care Track is designed to support members engaged in our cardiometabolic programs and on a GLP-1 to enable their success before, during, and after GLP-1 therapy. With over 150,000 members across our programs having used GLP-1s as of December 31, 2025, Omada has demonstrated expertise in supporting members currently taking these therapies to make lasting health changes. Through personalized support, education, and the thoughtful deployment of technology resources, we believe we are meeting this dynamic period in the GLP-1 market, aiming to enhance both the clinical impact of these therapies for our members and the economic benefits of GLP-1s. Our GLP-1 Enhanced Care Track builds on this initial groundwork, offering additional resources and support through our virtual programs, including exercise specialists unique to the ECT experience, with the ultimate goal of supporting members to achieve and maintain weight loss long-term, including after discontinuation of GLP-1 therapy. In addition, we recently announced the capability to prescribe GLP-1 therapies and other anti-obesity medications (“AOMs”) as an extension of our GLP-1 support offerings, reflecting our proactive approach to evolving care models and meeting customer needs, while continuing to innovate on traditional care protocols. Our new prescribing capability, launching later this year, is designed to provide broad longitudinal medication support, from the time of the prescription through the duration of a member’s time taking an AOM. This expands our existing offering by adding prescribing and medication management from licensed providers trained in obesity care through a nationally scalable model. Our Compassionate Intelligence approach combines clinical eligibility, health metrics, motivational readiness, and behavioral data to help support prescribing decisions and tailor care plans. This additional capability allows us to provide employers with more choices for how they support their populations, to align with benefit strategy goals, and to help optimize AOM spend and clinical outcomes. </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Omada for MSK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Launched by Omada in 2020, Omada for MSK connects individuals to licensed physical therapists for consultation and virtual treatment for musculoskeletal (“MSK”) conditions. Our program provides members access to treatment in as little as 24 hours from enrollment. We match clinically eligible patients with a dedicated physical therapist and provide ongoing access through video visits and asynchronous chat. Omada-affiliated physical therapists assign evidence-based treatment exercises and stretches to members and can assess patient progress through form analysis (by video), range of motion (by computer vision technology), and patient reports (in-app feedback). Members can also access an individualized education curriculum via our education library to help build healthy habits that support recovery and long-term health.</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Compassionate Intelligence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virtual, between-visit care model combines human care and technology, including AI, to support members over time. Programs are designed to be simple and engaging, and available whenever and wherever members need them.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model is anchored on our Care Teams, technology, and continuous innovation, which together enable a personalized, scalable, and cost-effective health experience.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Member-Facing Application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member-facing mobile and web applications are designed to offer a cohesive and integrated experience across all direct interactions we have with our members. Through a single login, members can access interactive lessons, peer groups, social communities, third-party connected devices, meal tracking, our OmadaSpark AI agent and related AI tools described below, and their dedicated Care Team. Once enrolled, a member’s experience is personalized through the app and Care Team communications, including a dynamic home screen that reflects content and activities based on their program and current goals. A continuous feedback loop, informed by our analytics suite, drives ongoing improvement of recommendations, actions, and content.</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Care Teams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human relationships and empathy are fundamental drivers of sustainable behavior change. Our Care Teams include health coaches, select relevant specialists, and licensed physical therapists, depending on the program, as well as licensed clinical social workers that provide consultation to our other Care Team members on general behavioral health practices on an as-needed basis. Our Care Teams deliver care within the scope of their credentials and are intended to remain with a member throughout their journey with Omada, which helps them to develop a deeper understanding of each member’s goals, progress, and challenges over time, including behavioral health needs that can affect a member’s ability to work on health goals. Our prescribing capability also incorporates third-party licensed obesity care providers for prescribing AOMs and related medication management.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behavioral health, our Care Teams are trained by licensed clinical social workers and use tools such as the PHQ</w:t>
        <w:noBreakHyphen/>
        <w:t>4 assessment to help surface potential needs and provide support to members when appropriate, while referring members to an employer’s Employee Assistance Program or other resources for needs outside their scope.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Care Team Platform &amp; Additional Technology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Facilitating human connections at scale requires integrated software that supports member experience and Care Team operations. Our integrated technology platform is purpose-built to magnify the impact of our Care Teams and Between-Visit-Care model, and drive operational excellence in a trusted and secure way. The platform is designed for easy navigation, surfaces shared member context, and enables Care Team members to communicate with each other and with members through asynchronous messaging. Proprietary tools and algorithms help prioritize and organize outreach and identify potential high-impact interventions, supporting efficient workflows while maintaining a high-touch member experience.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receive data from interactions between members, our platform, connected third-party devices, and our Care Teams. As of December 31, 2025, our Care Team Platform received more than 75,000 data points every 60 minutes. We apply artificial intelligence, including machine learning, to help interpret these data, support personalized care protocols, and identify when human outreach is likely to be most effective.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supports the full lifecycle of our work with customers, channel partners, and members, including benefit eligibility confirmation and enrollment outreach, application and onboarding, device management and fulfillment, member-facing tools and applications, Care Team tools, data capture and storage, and platform and billing infrastructure. Our Care Team Platform and other purpose-built systems, including AI and machine-learning capabilities, support internal efficiencies such as member enrollment optimization, coach capacity planning, device fulfillment, and reporting for customers and channel partners, and have enabled us to scale our Between-Visit Care model while maintaining high clinical quality and a strong member experience. </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Connected Devices and Data</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Where clinically appropriate, we provide members with connected third-party devices that measure progress and surface real-time data to our platform. Depending on the program, these devices can include scales, blood pressure monitors, blood glucose monitors, and continuous glucose monitors. Most devices are cellular-connected and paired with a member’s account, requiring no setup and transmitting fast, accurate readings directly to Omada. Members gain real-time visibility into how their behaviors affect their health, creating valuable learning moments and engagement, while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Teams use these data to generate insights that further personalize care plans and interventions. For cardiometabolic programs, members receive devices specific to their condition and needs, and related data are integrated into the Omada Care Team Platform to improve insights that support care delivery and product development.</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Continuous Innovation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Omada, we have invested in continuous innovation across our programs, using insights from our robust internal dataset derived from delivering care to nearly two million members since launch, and our cross-functional Omada Insights Lab, a collaboration of teams across clinical, product, design, engineering, and Care Teams. Over time, we have produced improvements to a number of activities in order to drive meaningful impact at scale and reflect our member-centric design approach and commitment to exceptional experiences, including:</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AI-Powered Food and Nutrition Insights</w:t>
      </w:r>
      <w:r>
        <w:rPr>
          <w:rFonts w:ascii="Times New Roman;serif" w:hAnsi="Times New Roman;serif"/>
          <w:b w:val="false"/>
          <w:color w:val="000000"/>
          <w:sz w:val="20"/>
        </w:rPr>
        <w:t>: OmadaSpark, our AI-powered agent, works directly with members alongside our Care Teams to support instant meal tracking and nutrition education, including meal logging via barcode scanning, photo upload, and voice input with immediate macronutrient feedback. We also built on that foundation to create Meal Map, an AI-driven nutrition experience that helps members understand the quality of their food choices through visual feedback, detailed nutrient analyses, and personalized nutritious recipe suggestions, tailored to member preferences and allergies and informed by a database of over three million foods from more than 150 countries.</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Instant Context</w:t>
      </w:r>
      <w:r>
        <w:rPr>
          <w:rFonts w:ascii="Times New Roman;serif" w:hAnsi="Times New Roman;serif"/>
          <w:b w:val="false"/>
          <w:color w:val="000000"/>
          <w:sz w:val="20"/>
        </w:rPr>
        <w:t>: We leverage the generative AI capabilities of prominent, third-party large language models, augmented with internal member interaction data, to prepare helpful contextual summaries of member history and circumstances, for use by our Care Teams.</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Automatic Message Tagging</w:t>
      </w:r>
      <w:r>
        <w:rPr>
          <w:rFonts w:ascii="Times New Roman;serif" w:hAnsi="Times New Roman;serif"/>
          <w:b w:val="false"/>
          <w:color w:val="000000"/>
          <w:sz w:val="20"/>
        </w:rPr>
        <w:t>: We also leverage third-party large language models to analyze and categorize Care Team messages to members, which helps us understand prior interactions and evaluate how different interventions affect member engagement and clinical outcomes.</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Smart Recommendations</w:t>
      </w:r>
      <w:r>
        <w:rPr>
          <w:rFonts w:ascii="Times New Roman;serif" w:hAnsi="Times New Roman;serif"/>
          <w:b w:val="false"/>
          <w:color w:val="000000"/>
          <w:sz w:val="20"/>
        </w:rPr>
        <w:t>: We have developed our own machine learning algorithms, informed by member interaction data and our content libraries, to power a recommendation engine that surfaces relevant wellness content and resources our clinical teams believe are most relevant to a member’s specific circumstances.</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MSK Computer Vision</w:t>
      </w:r>
      <w:r>
        <w:rPr>
          <w:rFonts w:ascii="Times New Roman;serif" w:hAnsi="Times New Roman;serif"/>
          <w:b w:val="false"/>
          <w:color w:val="000000"/>
          <w:sz w:val="20"/>
        </w:rPr>
        <w:t>: We leverage and configure third-party computer vision libraries on leading mobile devices, paired with a domain-specific scripting language to enable our affiliated physical therapists to more effectively assess our members' exercise form and range of motion and provide real-time feedback and objective data to support evaluation of movement performance and care plan effectiveness.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Grounded in Evidence Since Day One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to realize the full potential of our model, we sought to earn the trust of the existing healthcare ecosystem. Since our founding, we have worked to build bridges between the virtual and traditional (largely in-person) care communities through our commitment to delivering evidence-based care, publishing our clinical outcomes, and earning accreditations and credentials.</w:t>
      </w:r>
    </w:p>
    <w:p>
      <w:pPr>
        <w:pStyle w:val="TextBody"/>
        <w:bidi w:val="0"/>
        <w:spacing w:lineRule="auto" w:line="288" w:before="0" w:after="240"/>
        <w:ind w:left="0" w:right="0" w:firstLine="450"/>
        <w:jc w:val="both"/>
        <w:rPr/>
      </w:pPr>
      <w:r>
        <w:rPr>
          <w:rFonts w:ascii="Times New Roman;serif" w:hAnsi="Times New Roman;serif"/>
          <w:b/>
          <w:i/>
          <w:color w:val="000000"/>
          <w:sz w:val="20"/>
        </w:rPr>
        <w:t>We Start with Science</w:t>
      </w:r>
      <w:r>
        <w:rPr>
          <w:rFonts w:ascii="Times New Roman;serif" w:hAnsi="Times New Roman;serif"/>
          <w:b w:val="false"/>
          <w:color w:val="000000"/>
          <w:sz w:val="20"/>
        </w:rPr>
        <w:t>: The foundation of each of our programs is an evidence-based intervention that exists in the in-person care setting, such as the CDC’s Diabetes Prevention Program, upon which we have built technology-enabled solutions able to reach patients at scale.</w:t>
      </w:r>
    </w:p>
    <w:p>
      <w:pPr>
        <w:pStyle w:val="TextBody"/>
        <w:bidi w:val="0"/>
        <w:spacing w:lineRule="auto" w:line="288" w:before="0" w:after="240"/>
        <w:ind w:left="0" w:right="0" w:firstLine="450"/>
        <w:jc w:val="both"/>
        <w:rPr/>
      </w:pPr>
      <w:r>
        <w:rPr>
          <w:rFonts w:ascii="Times New Roman;serif" w:hAnsi="Times New Roman;serif"/>
          <w:b/>
          <w:i/>
          <w:color w:val="000000"/>
          <w:sz w:val="20"/>
        </w:rPr>
        <w:t>We Deliver Outcome</w:t>
      </w:r>
      <w:r>
        <w:rPr>
          <w:rFonts w:ascii="Times New Roman;serif" w:hAnsi="Times New Roman;serif"/>
          <w:b w:val="false"/>
          <w:color w:val="000000"/>
          <w:sz w:val="20"/>
        </w:rPr>
        <w:t>s: We have demonstrated clinical outcomes and economic value across our multi- condition platform, including 30 published, peer-reviewed studies as of December 31, 2025, which allow us to improve our programs and serve as a key differentiator. Across our cardiometabolic programs, peer-reviewed studies have demonstrated meaningful improvements in key clinical measures, including sustained weight loss, reductions in A1C for members with diabetes, and improvements in blood pressure for members with hypertension, with outcomes observed across diverse populations and care settings. In our musculoskeletal program, published studies have shown reductions in pain and improvements in physical function, supporting the effectiveness of our virtual physical therapy model and reinforcing the clinical rigor underlying our multi-condition platform.</w:t>
      </w:r>
    </w:p>
    <w:p>
      <w:pPr>
        <w:pStyle w:val="TextBody"/>
        <w:bidi w:val="0"/>
        <w:spacing w:lineRule="auto" w:line="288" w:before="0" w:after="240"/>
        <w:ind w:left="0" w:right="0" w:firstLine="450"/>
        <w:jc w:val="both"/>
        <w:rPr/>
      </w:pPr>
      <w:r>
        <w:rPr>
          <w:rFonts w:ascii="Times New Roman;serif" w:hAnsi="Times New Roman;serif"/>
          <w:b/>
          <w:i/>
          <w:color w:val="000000"/>
          <w:sz w:val="20"/>
        </w:rPr>
        <w:t>We are Assessed by Experts</w:t>
      </w:r>
      <w:r>
        <w:rPr>
          <w:rFonts w:ascii="Times New Roman;serif" w:hAnsi="Times New Roman;serif"/>
          <w:b w:val="false"/>
          <w:color w:val="000000"/>
          <w:sz w:val="20"/>
        </w:rPr>
        <w:t xml:space="preserve">: We believe virtual care should be subject to many of the same quality control expectations as traditional in-person care. This belief has led us to seek and receive recognition or accreditation by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independent third-party organization in the healthcare industry relevant to most of our standalone programs. We have received full recognition from the CDC’s Diabetes Prevention Recognition Program for certain deployments of our Omada for Prevention &amp; Weight Health program, meaning that these deployments have met the rigorous standards for quality and the outcomes requirements set forth by the CDC for a diabetes prevention program. We have also received accreditations from the Association of Diabetes Care and Education Specialists (the “ADCES”) for our Diabetes program, the National Committee for Quality Assurance (the “NCQA”) for our type 2 Diabetes and combined Diabetes and Hypertension programs, and the Utilization Review Accreditation Commission (the “URAC”) for our MSK program.</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Our Fit in the Evolving Industry Landscape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rapid expansion of GLP-1 and other specialty medications, rising consumer expectations for integrated and intuitive experiences, acceleration driven by AI, increasing regulatory and clinical rigor, and the growing importance of distribution and access are resetting how chronic care is delivered, evaluated, and paid for. Payers and employers are responding to rising healthcare costs and increasing GLP-1 utilization by seeking demonstrable clinical outcomes, defensible ROI, and integrated, multi-condition platforms that deliver personalized, longitudinal care experiences. In this environment, we believe platforms that combine clinical rigor, multi-condition reach, and evidence based, human-led care are well positioned to partner with employers, health plans, PBMs, and government programs. We further believe that advantage increasingly will accrue to organizations that can deliver additive value alongside powerful medications, provide consumer-grade experiences without sacrificing clinical integrity, and scale responsibly through trusted channels.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the recent approval of multiple GLP</w:t>
        <w:noBreakHyphen/>
        <w:t>1s for the treatment of obesity, diabetes, hypertension, and heart disease, among others, many have approached these therapies as breakthrough standalone medications. In recent years, GLP</w:t>
        <w:noBreakHyphen/>
        <w:t>1s have driven dramatic growth in the obesity market. GLP</w:t>
        <w:noBreakHyphen/>
        <w:t>1s also can represent a significant cost burden for employers and health plans that cover them, and the lasting value derived from this therapy may be limited after discontinuation.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FDA-approved labels as of December 31, 2025, GLP-1 therapies prescribed in adults for obesity or chronic weight management should be prescribed concurrently with a behavioral and lifestyle treatment plan. For those who can and choose to use GLP-1s, behavior change can help increase weight loss and counter the likely weight regain after discontinuation. For those who cannot or choose not to use GLP-1s, behavior change remains a core part of treatment for obesity and related conditions. We believe there remains a critical need to instill lasting behavior change in order to counter drawbacks like loss of muscle mass and maximize the benefits of these therapies. As described in our recently published study of 965 Omada members on GLP-1s, those who persisted on GLP-1s for 12 months and regularly engaged with the Enhanced GLP-1 Care Track lost on average 16.3% of their baseline weight, compared to 11.9% demonstrated in other real world evidence. Additionally, members who discontinued GLP-1 therapies for at least 12 months and stayed on the Enhanced GLP-1 Care Track experienced just 0.8% weight regain, on average, with 63.2% of those members maintaining or continuing to lose weight at 12 months.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Scaled, Diversified Go-to-Market Model</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Growth Strategy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growth strategy is centered on expanding the number of individuals covered for participation in one or more of our programs by our paying customers, which we call “covered lives,” as well as improving enrollment effectiveness and driving sustained member engagement. We seek to increase the number of individuals with access to our programs by offering multiple products across diverse end markets, deepening relationships with employers, health plans, and pharmacy benefit managers, and expanding distribution through a scalable, diversified go-to-market model. We also focus on converting eligible lives into active members through targeted enrollment outreach, multi-program adoption, and continued investment in technology, including tools designed to optimize enrollment and funnel conversion. Finally, we prioritize ongoing member engagement, which we believe supports clinical outcomes, retention, and recurring revenue, through a combination of proactive Care Teams, program enhancements such as our GLP-1 Care Tracks, and technology-enabled features intended to reinforce sustained participation over time.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Go-to-Market Approach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the breadth of our success is based in part on our diverse, customer-centric go-to-market strategy and our multi-condition approach. Our customers and channel partners are increasingly looking for solutions that effectively serve their members at scale and can be easily integrated within their existing benefits ecosystems.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go-to-market strategy follows a business-to-business-to-consumer motion. We contract with a wide variety of customers and channel partners, including fully insured health plans, self-insured employers, PBMs, and health systems that take on financial risk for some or all of their patients. Our diverse set of channels can offer customers flexibility in how they contract with Omada, either with Omada directly or through a channel partner, which can streamline enrollment, onboarding, and implementation. Our relationships with health plans and PBMs give many employers the flexibility to contract with us in the way they prefer.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Omada’s customer experience and partner management teams are designed to provide seamless customer onboarding, member enrollment support, insightful data reporting, tailored business reviews, product roadmap updates, and more, based on the needs of each customer and channel partner. The strength of our customer relationships is evidenced in our three-year average customer retention rate of over 90%, and our customer satisfaction rate of over 90% for each of program implementation and customer success, each as of December 31, 2025. Our customer satisfaction rate is based on responses received from program implementation and customer success surveys, which we send to the contacts at all customers that launched a new program during the measured period and received customer experience services from us. Results are calculated by a third-party customer experience management vendor, and we consider a customer to be satisfied if they rated our program implementation and ongoing customer success, as applicable, at a 5 or higher on a 7-point scale. Based on our experience and input from this vendor, we believe that our customer satisfaction rates are strong and reflect the value of our services to customers.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partner with our customers and channel partners across enrollment outreach, onboarding, and implementation with the goal of fostering long-term partnerships, retention, and commercial success. After initial onboarding, we provide reporting tools that offer transparency into their population’s progress including key performance metrics such as enrollment, engagement, clinical outcomes, and satisfaction. We collaborate to develop tailored, multi-channel enrollment outreach programs spanning email, traditional mail, company communications, and workplace collateral that encourage individuals to enroll in an Omada program. Our purpose-built enrollment platform supports the entire go-to-market process from closed sale to member enrollment. We efficiently intake population outreach files, operationalize enrollment outreach strategies, and generate custom reports for customers and channel partners to quantify the success of our efforts.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supported by our customers’ health plans, we can bill our services through electronic claims, similar to many other healthcare providers. Electronic claims provide more easily analyzed data and can simplify administration and spend tracking. Those claims may also be counted as medical or pharmacy expenses, depending on plan determinations, which differentiates our fees from those for wellness offerings.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typical member can enroll in our cardiometabolic programs without incurring copays, coinsurance, or deductibles. Members in Omada for MSK may incur copays, coinsurance, or deductibles when receiving physical therapy services, depending on plan design and much like in-person physical therapy.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experienced, and expect to continue to experience, seasonality in our business, with a higher number of closed sales in the late spring and early fall and higher enrollment launch rates in the first and second quarters of the year which results in part from the timing of open enrollment periods of many of our customers.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market is in an early stage of development, it is evolving rapidly and becoming increasingly competitive. We currently face competition from a range of digital health companies, including direct competition from: competitors offering cardiometabolic programs, such as Hello Heart Inc., Lark Technologies, Inc., Livongo (via Teladoc Health, Inc.), Onduo LLC, Vida Health, Inc., and Virta Health Corp.; competitors offering only MSK programs, such as Hinge Health, Inc. and SWORD Health, Inc.; and those that offer both cardiometabolic and MSK programs, such as DarioHealth Corp. In some cases, our competitors also include healthcare providers and health plans that have developed their own digital healthcare platforms or tools, large technology companies that are engaged in or may enter the healthcare industry, including initiatives and partnerships launched by these companies, smaller companies that offer point solutions for one or more chronic conditions, and specialized software providers or device manufacturers. In addition, healthcare providers may choose not to implement a digital health solution at all and instead may continue to rely on traditional, in-person approaches to healthcare. Finally, AI-native companies are launching offerings in the healthcare space, and we expect more companies to expand their AI tools into healthcare in the future. We expect to face increasing competition from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competitors, who may be well-established and enjoy greater resources or other strategic advantages to compete for some or all key stakeholders in our markets, as well as new entrants into our market.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 principal competitive factors for our industry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evidence-based care informed by high clinical and quality standards;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acceptance by employers, health plans, health systems, pharmacy benefit managers, and government entities;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ability to influence members to improve health and financial outcomes;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price and billing model;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of member enrollments and engagement;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breadth, depth, and reliability of platform functionality and technology, including integrations with third-party devices;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ability to support demand and companion care needs for GLP-1 and other AOMs;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ability to deploy AI technologies to increase speed of innovation and improve operating costs;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ease of use and convenience for customers, channel partners, and members, including customer integrations;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of satisfaction among customers, channel partners, and members;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ability to recruit and retain skilled employees and Care Team members;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ability to rapidly innovate and respond to new or changing opportunities, technologies, standards, legislation and regulatory developments, and the needs and requirements of customers and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compliance;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sophisticated compliance and security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believe that we compete favorably with respect to these factors, to remain competitive, we will need to continue to focus on, among other things, delivering meaningful and clinically validated outcomes to customers, channel partners, and members through human-led and technology-enabled care; increasing the number of customers and channel partners who offer more than one Omada program; increasing member enrollment rates; enhancing member engagement with our programs; providing a flexible customer experience across contracting, implementation, and account management; and maintaining high levels of data security and member safety.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our programs directly to customers and through channel partners. Our sales and account management teams are structured to reflect our growth opportunities and to serve our various customers and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Our Employer Sales Team</w:t>
      </w:r>
      <w:r>
        <w:rPr>
          <w:rFonts w:ascii="Times New Roman;serif" w:hAnsi="Times New Roman;serif"/>
          <w:b w:val="false"/>
          <w:color w:val="000000"/>
          <w:sz w:val="20"/>
        </w:rPr>
        <w:t>: This team is organized by employer size and is responsible for selling Omada’s programs to new employers and selling additional programs to existing employer customers. Our embedded consultant relations team also builds relationships to help grow Omada awareness amongst benefit consultants in support of sales.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Our Partner Sales Team</w:t>
      </w:r>
      <w:r>
        <w:rPr>
          <w:rFonts w:ascii="Times New Roman;serif" w:hAnsi="Times New Roman;serif"/>
          <w:b w:val="false"/>
          <w:color w:val="000000"/>
          <w:sz w:val="20"/>
        </w:rPr>
        <w:t xml:space="preserve">: This team engages health plans and PBMs to identify new and expand existing partner channels through which we can sell directly to their end customers through a channel partner relationship or access and enroll their member lives directly. This team also sells to health systems, such as hospitals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large practices, with a focus on health systems that assume the cost of care for their patients and may choose to cover Omada programs for their patients.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Our Customer Experience and Partner Management Teams</w:t>
      </w:r>
      <w:r>
        <w:rPr>
          <w:rFonts w:ascii="Times New Roman;serif" w:hAnsi="Times New Roman;serif"/>
          <w:b w:val="false"/>
          <w:color w:val="000000"/>
          <w:sz w:val="20"/>
        </w:rPr>
        <w:t>: These teams support channel partner and customer relationships on an ongoing basis after the initial sale. They are accountable for account health, customer satisfaction and retention, driving awareness and enrollments, deepening relationships with customers and channel partners, and providing strategic guidance on improving health outcomes across member populations.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Marketing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marketing team has two overall functions, each of which plays an important part in our revenue generation strategy. Our B2B marketing team builds our reputation as a preferred solution in the market, and our enrollment outreach team drives member awareness and enrollment for our existing accounts post sale: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Our B2B Marketing Team</w:t>
      </w:r>
      <w:r>
        <w:rPr>
          <w:rFonts w:ascii="Times New Roman;serif" w:hAnsi="Times New Roman;serif"/>
          <w:b w:val="false"/>
          <w:color w:val="000000"/>
          <w:sz w:val="20"/>
        </w:rPr>
        <w:t>: This team is responsible for brand strategy, thought leadership, PR campaigns, and strategic market positioning. The team develops audience-level messaging, product demos, customer value stories, and content strategy and establishes industry presence at important trade shows, conferences, roundtables, and health fairs.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Our Enrollment Outreach Team</w:t>
      </w:r>
      <w:r>
        <w:rPr>
          <w:rFonts w:ascii="Times New Roman;serif" w:hAnsi="Times New Roman;serif"/>
          <w:b w:val="false"/>
          <w:color w:val="000000"/>
          <w:sz w:val="20"/>
        </w:rPr>
        <w:t>: This team is responsible for driving member awareness and enrollment outreach. The team designs and implements the multi-channel enrollment approach for both Omada-led and client-led outreach, including through email, traditional direct mail, company communications, and workplace physical collateral. The team explains our product offerings to prospective members and encourages them to proceed with application and eligibility checks, which precede enrollment. The team also runs our enrollment operations and platform to drive seamless campaign execution at scale.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combination of trademark, copyright, patent, and trade secret laws, as well as license agreements, confidentiality procedures, and contractual protections with our employees, contractors, affiliates, customers, including channel partners, and other business partners, to establish and protect our intellectual property and proprietary rights.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five issued patents and three pending non-provisional patent applications in the U.S. Due to the nature of our technology and the rapid technological changes that characterize the markets we operate in, we believe that trade secrets and other unpatented know-how relied upon in connection with the development of new products and the enhancement of existing products are generally more important than patent protection in establishing and maintaining a competitive advantage. Nevertheless, we continually review our development efforts to assess the existence and patentability of new intellectual property. As of December 31, 2025, we held four registered trademarks and three applied-for trademarks in the U.S. and also held 15 registered trademarks in foreign jurisdictions. In addition, we have registered domain names for websites that we use in our business, such as www.omadahealth.com.</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aggregate, our intellectual property assets are of material importance to our business; however, we believe that no single patent, technology, trademark, intellectual property asset, or license is material in relation to our business as a whole. Our currently issued patents are projected to expire beginning in 2039 unless extended or otherwise adjusted.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care deeply about attracting, motivating, and retaining high-performing talent. Omada strives to be a place where people can be at their best and do their best work. In 2023, 2024, and 2025, we were certified as a “Great Place to Work” by the Great Place to Work Institute.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culture is mission-driven, remote-first, and values-focused. Our core values are the foundation of our culture and meant to guide everything we do: </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Cultivate Trust</w:t>
      </w:r>
      <w:r>
        <w:rPr>
          <w:rFonts w:ascii="Times New Roman;serif" w:hAnsi="Times New Roman;serif"/>
          <w:b w:val="false"/>
          <w:color w:val="000000"/>
          <w:sz w:val="20"/>
        </w:rPr>
        <w:t>: We listen closely, and we operate with kindness. We provide respectful and candid feedback to each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Seek Context</w:t>
      </w:r>
      <w:r>
        <w:rPr>
          <w:rFonts w:ascii="Times New Roman;serif" w:hAnsi="Times New Roman;serif"/>
          <w:b w:val="false"/>
          <w:color w:val="000000"/>
          <w:sz w:val="20"/>
        </w:rPr>
        <w:t>: We ask to understand, and we build connections. We do our research up front to move faster down the road.</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Act Boldly</w:t>
      </w:r>
      <w:r>
        <w:rPr>
          <w:rFonts w:ascii="Times New Roman;serif" w:hAnsi="Times New Roman;serif"/>
          <w:b w:val="false"/>
          <w:color w:val="000000"/>
          <w:sz w:val="20"/>
        </w:rPr>
        <w:t>: We innovate daily to solve problems, improve processes, and find new opportunities for our customers, channel partners, and members.</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Deliver Results</w:t>
      </w:r>
      <w:r>
        <w:rPr>
          <w:rFonts w:ascii="Times New Roman;serif" w:hAnsi="Times New Roman;serif"/>
          <w:b w:val="false"/>
          <w:color w:val="000000"/>
          <w:sz w:val="20"/>
        </w:rPr>
        <w:t>: We reward impact over output. We set a high bar. We are not afraid to fail, and we take pride in our work.</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Succeed Together</w:t>
      </w:r>
      <w:r>
        <w:rPr>
          <w:rFonts w:ascii="Times New Roman;serif" w:hAnsi="Times New Roman;serif"/>
          <w:b w:val="false"/>
          <w:color w:val="000000"/>
          <w:sz w:val="20"/>
        </w:rPr>
        <w:t>: We prioritize Omada’s progress above team or self. We have fun as we get our work done, and we celebrate together.</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Remember Why We’re Here</w:t>
      </w:r>
      <w:r>
        <w:rPr>
          <w:rFonts w:ascii="Times New Roman;serif" w:hAnsi="Times New Roman;serif"/>
          <w:b w:val="false"/>
          <w:color w:val="000000"/>
          <w:sz w:val="20"/>
        </w:rPr>
        <w:t>: We push through the challenges of changing healthcare because we know the destination is worth 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provide a differentiated employee value proposition in the market, enabling us to attract and retain high-performing talent. This is true for our corporate staff and our member-facing Care Teams—our health coaches, clinical and behavioral health specialists, and physical therapists—who are core to our mission, as they directly impact the lives of our members through Omada’s scale. We support this level of impact from our Care Teams enabling them to focus on what they do best—coaching to improve the lives of our members. We leverage our Care Team Platform to maximize their focus and impact, and work collaboratively across our teams to ensure we understand and meet our members’ needs across a broad set of conditions from prevention to chronic care management. As a company, we offer a unique combination of benefits to support our employees, grounded in our strong culture and mission and supported by a commitment to learning and development, competitive compensation and benefits, and flexibility through our remote-first way of working and generous paid time-off policies.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916 full-time employees, and none of our employees were represented by labor unions or covered by collective bargaining agreements. We consider our relationship with our employees to be good, and we have not experienced any work stoppages due to labor disagreements.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Regulatory Environment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comprehensive laws and regulation at both the federal and state level, including those relating to healthcare, medical or health-related software, and privacy and security of personal health information. Although we and our affiliated professional entities work to comply with applicable laws and regulations, the laws and regulations governing our business and interpretations of those laws and regulations continue to expand and evolve. For example, while we believe that our software applications are not currently regulated by the FDA as medical devices or otherwise subject to the FDA’s current enforcement discretion policies applicable to software, the FDA may modify its enforcement policies with respect to medical software products, and our software applications may become subject to extensive regulatory requirements. As the applicable laws and regulations change, we may make conforming modifications in our business from time to time.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Healthcare Fraud and Abuse Laws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our affiliated professional entities are subject to a number of federal and state healthcare regulatory laws that restrict certain business practices in the healthcare industry. These laws include, but are not limited to, federal and state anti-kickback, false claims, self-referral, and other healthcare fraud and abuse laws.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federal Anti-Kickback Statute (the “AKS”)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The AKS includes statutory exceptions and regulatory safe harbors that protect certain arrangements. Failure to meet the requirements of a safe harbor, however, does not render an arrangement illegal. Rather, the government may evaluate such arrangements on a case-by-case basis, taking into account all facts and circumstances, including the parties’ intent and the arrangement’s potential for abuse, and arrangements may be subject to greater scrutiny by enforcement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Stark Law prohibits a physician who has a financial relationship, or who has an immediate family member who has a financial relationship, with entities providing designated health services (“DHS”) from referring Medicare and Medicaid patients to such entities for the furnishing of DHS, unless an exception applies. The Stark Law also prohibits the entity from billing for any such prohibited referral. Unlike the AKS, the Stark Law is violated if the financial arrangement does not meet an applicable exception, regardless of any intent by the parties to induce or reward referrals or the reasons for the financial relationship and the referral.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Federal False Claims Act (the “FCA”) prohibits a person from knowingly presenting, or causing to be presented, a false or fraudulent request for payment from the federal government or from making a false statement or using a false record to have a claim approved. The FCA further provides that a lawsuit thereunder may be initiated in the name of the U.S. by an individual (a “whistleblower”) who is an original source of the allegations. Moreover, the government may assert that a claim including items and services resulting from a violation of the AKS or the Stark Law constitutes a false or fraudulent claim for purposes of the civil FCA. Penalties for a violation of the FCA include fines for each false claim, plus up to three times the amount of damages caused by each false claim.</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the Civil Monetary Penalties Statute authorizes the imposition of civil monetary penalties, assessments, and exclusion against an individual or entity based on a variety of prohibited conduct, including, but not limited to, offering remuneration to a federal healthcare program beneficiary that the individual or entity knows or should know is likely to influence the beneficiary to order or receive healthcare items or services from a particular provider.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Health Insurance Portability and Accountability Act of 1996, as amended by the Health Information Technology for Economic and Clinical Health Act of 2009, and regulations implemented thereunder (collectively, “HIPAA”), also established federal criminal statutes that prohibit, among other things,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Several states in which we operate also have adopted similar fraud and abuse laws as described above. The scope of these laws and the interpretations of them vary from state to state and are enforced by state courts and regulatory authorities, each with broad discretion. Some state fraud and abuse laws apply to items or services reimbursed by any payer, including patients and commercial insurers, not just those reimbursed by a federally funded healthcare program.</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Violation of any of these laws or any other governmental regulations that apply may result in significant penalties, including, without limitation, administrative civil and criminal penalties, damages, disgorgement, fines, additional reporting requirements and compliance oversight obligations, contractual damages, the curtailment or restructuring of operations, exclusion from participation in government healthcare programs, and/or imprisonment.</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Healthcare Reform</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U.S., there have been, and we expect there will continue to be, a number of legislative and regulatory changes to the healthcare system, many of which are intended to contain or reduce healthcare costs. By way of example, the Affordable Care Act (the “ACA”) substantially changed the way healthcare is financed by both governmental and private insurers. Since its enactment, there have been judicial, executive, and Congressional challenges to certain aspects of the ACA. On June 17, 2021, the U.S. Supreme Court dismissed the most recent judicial challenge to the ACA without specifically ruling on the constitutionality of the ACA.</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ACA requires (with limited exceptions) that private health plans cover certain recommended preventive services without imposing member cost-sharing, such as copayments, co-insurance, or deductibles.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Separately, individuals covered by high-deductible health plans (“HDHPs”) may receive preventive care, including certain preventive services identified by agencies like the U.S. Preventive Services Task Force and certain other items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identified by the U.S. Internal Revenue Service (the “IRS”), without cost-sharing, even if the high deductible has not yet been met, while remaining eligible to make health savings account (“HSA”) contributions. HDHP participants may also receive disease management or wellness programs that do not provide significant benefits in the nature of medical care or treatment, without cost-sharing, even if the high deductible has not yet been met, while remaining eligible to make HSA contributions.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Although the ACA’s delegation to the U.S. Preventive Services Task Force to recommend preventive services for ACA-compliant plans was challenged in </w:t>
      </w:r>
      <w:r>
        <w:rPr>
          <w:rFonts w:ascii="Times New Roman;serif" w:hAnsi="Times New Roman;serif"/>
          <w:b w:val="false"/>
          <w:i/>
          <w:color w:val="000000"/>
          <w:sz w:val="20"/>
        </w:rPr>
        <w:t>Braidwood Management Inc., et al. v. Xavier Becerra, et al.</w:t>
      </w:r>
      <w:r>
        <w:rPr>
          <w:rFonts w:ascii="Times New Roman;serif" w:hAnsi="Times New Roman;serif"/>
          <w:b w:val="false"/>
          <w:color w:val="000000"/>
          <w:sz w:val="20"/>
        </w:rPr>
        <w:t>, the authority to make that delegation was confirmed by the U.S. Supreme Court in June 2025. As a result, the U.S. Preventive Services Task Force recommendations that are approved by the Secretary of Health and Human Services are mandatory for ACA-compliant plans. Additionally, the IRS has issued guidance indicating that those same recommended services will continue to be considered preventive care that does not affect HSA eligibility for a HDHP participant. Nevertheless, any future changes to this guidance or to the types of care that HDHP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(the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OBBBA also, however, expands access to telehealth and other remote-care services for individuals who are covered by HDHPs by permanently extending the previous, COVID-era safe harbor permitting HDHPs to cover these services without cost-sharing.</w:t>
      </w:r>
    </w:p>
    <w:p>
      <w:pPr>
        <w:pStyle w:val="TextBody"/>
        <w:bidi w:val="0"/>
        <w:spacing w:before="0" w:after="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that additional state and federal healthcare reform measures will be adopted in the future, any of which could limit the amounts that federal and state governments and other third-party payers will pay for healthcare products and services.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Data Privacy and Security Laws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Numerous state, federal, and foreign laws, regulations, and standards govern the collection, use, access to, confidentiality, and security of health-related and other personal information. In the U.S., federal and state laws and regulations, including data breach notification laws, health information privacy and security laws, such as HIPAA, and federal and state consumer protection laws and regulations, such as Section 5 of the Federal Trade Commission Act, that govern the collection, use, disclosure, and protection of health-related and other personal information could apply to our operations or the operations of our partners. In addition, certain state and foreign laws, such as the California Consumer Privacy Act, as amended by the California Privacy Rights Act (collectively, “CCPA”),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Entities found to be in violation of HIPAA as the result of a breach of unsecured protected health information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While HIPAA does not create a private right of action allowing individuals to sue us in civil court for violations of HIPAA, HIPAA authorizes state Attorneys General to file suit on behalf of their residents, and its standards have been used as the basis for duty of care in state civil suits such as those for negligence or recklessness in the misuse or breach of PHI.</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U.S. Food and Drug Administration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FDA regulates medical or health-related software, including machine learning functionality and predictive algorithms, if such software falls within the definition of a “medical device” under the Federal Food, Drug, and Cosmetic Act (the “FDCA”). Historically, the FDA has exercised enforcement discretion for certain low-risk software functions and has issued several guidance documents outlining its approach to the regulation of certain software functionality as a medical device. In addition, the FDCA excludes certain types of software from the definition of a medical device, including certain medical-related software used for administrative support at a healthcare facility, software intended for maintaining or encouraging a healthy lifestyle, certain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FDA also regulates as medical devices certain of the connected devices provided to members in connection with our programs. These connected devices include blood pressure monitors and blood glucose monitors (including continuous glucose monitors). In the U.S., the FDCA, as well as FDA regulations and other federal and state statutes and regulations, govern, among other things, medical device design and development, preclinical and clinical testing, device safety, premarket clearance and approval, establishment registration and device listing, manufacturing, labeling, storage, record-keeping, advertising, and promotion, sales, and distribution, export and import, recalls and field safety corrective actions, and post-market surveillance, including complaint handling and medical device reporting of adverse events. Failure to comply with applicable requirements may subject a company to a variety of administrative or judicial sanctions, such as warning or untitled letters, product recalls, product seizures, total or partial suspension of production or distribution, injunctions, fines, civil penalties, and criminal prosecution. The FDA can also refuse to approve or clear pending product applications. We do not manufacture, reprocess, repackage, remanufacture, import, export, or act as a specification developer for the medical devices we provide to members, nor have we sought or obtained 510(k) clearance, PMA approval, or other marketing authorizations for the connected devices provided in connection with our programs. We are wholly reliant on our suppliers and contract manufacturers to obtain the requisite marketing authorizations for their products and to comply with applicable FDA regulations and other legal requirements.</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FDA premarket clearance and approval requirements</w:t>
      </w:r>
      <w:r>
        <w:rPr>
          <w:color w:val="000000"/>
        </w:rPr>
        <w:t>—</w:t>
      </w:r>
      <w:r>
        <w:rPr>
          <w:rFonts w:ascii="Times New Roman;serif" w:hAnsi="Times New Roman;serif"/>
          <w:b w:val="false"/>
          <w:color w:val="000000"/>
          <w:sz w:val="20"/>
        </w:rPr>
        <w:t>Unless an exemption applies, each medical device commercially distributed in the U.S. requires either FDA clearance of a 510(k) premarket notification, or approval of a premarket approval application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Management System Regulation (“QMSR”),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pStyle w:val="TextBody"/>
        <w:bidi w:val="0"/>
        <w:spacing w:lineRule="auto" w:line="288" w:before="0" w:after="240"/>
        <w:ind w:left="0" w:right="0" w:firstLine="450"/>
        <w:jc w:val="both"/>
        <w:rPr/>
      </w:pPr>
      <w:r>
        <w:rPr>
          <w:rFonts w:ascii="Times New Roman;serif" w:hAnsi="Times New Roman;serif"/>
          <w:b w:val="false"/>
          <w:i/>
          <w:color w:val="000000"/>
          <w:sz w:val="20"/>
        </w:rPr>
        <w:t>Postmarket regulation</w:t>
      </w:r>
      <w:r>
        <w:rPr>
          <w:color w:val="000000"/>
        </w:rPr>
        <w:t>—</w:t>
      </w:r>
      <w:r>
        <w:rPr>
          <w:rFonts w:ascii="Times New Roman;serif" w:hAnsi="Times New Roman;serif"/>
          <w:b w:val="false"/>
          <w:color w:val="000000"/>
          <w:sz w:val="20"/>
        </w:rPr>
        <w:t>After a device is cleared or approved for marketing, numerous and pervasive regulatory requirements continue to apply. These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establishment registration and device listing with the FDA;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QMSR requirements, which require manufacturers, including third-party manufacturers, to follow stringent design, testing, control, documentation, and other quality assurance procedures during all aspects of the design and manufacturing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labeling and marketing regulations, which require that promotion is truthful, not misleading, fairly balanced, and provides adequate directions for use and that all claims are substantiated, and also prohibit the promotion of products for unapproved or “off-label” uses and impose other restrictions on labeling;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clearance or approval of product modifications to 510(k)-cleared devices that could significantly affect safety or effectiveness or that would constitute a major change in intended use;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complying with requirements governing Unique Device Identifiers on devices and also requiring the submission of certain information about each device to the FDA’s Global Unique Device Identification Database;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FDA’s recall authority, whereby the agency can order device manufacturers to recall from the market a product that is in violation of governing laws and regulations;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Manufacturers of medical device products marketed in the U.S. are required to comply with the applicable portions of the QMSR,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Device manufacturers are also subject to periodic scheduled or unscheduled inspections by the FDA. The FDA has broad regulatory compliance and enforcement powers.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FDA determines that a company has failed to comply with applicable regulatory requirements, including a determination that medical software applications require prior FDA clearance or approval to be legally marketed in the U.S., it can take a variety of compliance or enforcement actions, which may result in any of the following sanctions: warning letters, untitled letters, fines, injunctions, consent decrees, and civil penalties; recalls, withdrawals, or administrative detentions or seizures of products; operating restrictions or partial suspension or total shutdown of production; refusing or delaying requests for 510(k) clearance or PMA approvals of new products or modified products; withdrawing 510(k) clearances or PMA approvals that have already been granted; refusal to grant export or import approvals; or criminal prosecution.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State Corporate Practice of Learned Professions and Fee-Splitting Laws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arrangements with Physera Physical Therapy Group, PC (“PPTG”) and other professional practices, including third-party telehealth providers, are subject to various state laws in California and other jurisdictions, commonly referred to as corporate practice of physical therapy or medicine, as applicable, and fee-splitting laws, which are intended to prevent unlicensed persons from interfering with or influencing the licensed providers’ professional judgment and prohibit the sharing of professional service fees with non-professional or business interests. These laws vary from state to state and are subject to broad interpretation and enforcement by state regulators. A determination of non-compliance against us, PPTG, and/or the other professional practices with whom we contract could lead to adverse judicial or administrative action, civil or criminal penalties, receipt of cease and desist orders from state regulators, loss of provider licenses, and/or restructuring of these arrangements.</w:t>
      </w:r>
    </w:p>
    <w:p>
      <w:pPr>
        <w:pStyle w:val="TextBody"/>
        <w:bidi w:val="0"/>
        <w:spacing w:before="0" w:after="240"/>
        <w:ind w:left="0" w:right="0" w:firstLine="45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Corporate and Available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were incorporated under the laws of the State of Delaware on April 25, 2011. Our principal executive offices are located at 611 Gateway Blvd, Suite 120 South San Francisco, California, and our telephone number is (888) 987-8337. Our corporate website address is www.omadahealth.com. Information contained on, or that can be accessed through,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website does not constitute part of this Annual Report on Form 10-K and will not be deemed to be incorporated into any of our other filings with the SEC except where we expressly incorporate such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annual reports on Form 10-K, quarterly reports on Form 10-Q, current reports on Form 8-K and, if applicable, amendments to those reports filed or furnished pursuant to Section 13(a) of the Securities Exchange Act of 1934, as amended, are available free of charge on or through our website, www.omadahealth.com, as soon as reasonably practicable after we electronically file such material with, or furnish it to, the SEC. The SEC's website, http://www.sec.gov, contains reports, proxy and information statements, and other information regarding issuers that file electronically with the SEC.</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announce material information to the public through a variety of means, including filings with the SEC, our website, social media channels, press releases, public conference calls, and public webcasts in order to ensure broad, non-exclusionary distribution of our information to the public. We encourage our investors and others to review the information we make public in these locations as such information could be deemed to be material information. Please note that this list may be updated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results of operations, and prospects.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included elsewhere in this Annual Report on Form 10-K.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76" w:before="0" w:after="0"/>
        <w:ind w:left="0" w:right="0" w:firstLine="38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of which you should be aware before making a decision to invest in our common stock, including those described more fully below in this Annual Report on Form 10-K. The following is a summary of principal risks and uncertainties that could materially adversely affect our business, results of operations, financial condition, and prospects. This summary should be read in conjunction with the “Risk Factors” section and should not be relied upon as an exhaustive summary of the material risks and uncertainties facing our business.</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have a limited operating history and have grown significantly in a short period of time. If we fail to manage our growth effectively, our business could be materially and adversely affected.</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have a history of net losses, and we may not be able to consistently achieve or maintain profitability in the future.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market for our programs is new, rapidly evolving, and increasingly competitive, as the healthcare industry in the U.S. is undergoing significant structural change, which makes it difficult to forecast demand for our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Competitive solutions or other technological breakthroughs for the monitoring, treatment, or prevention of chronic conditions or technological developments may adversely affect demand for our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Our programs may result in member harm or injury.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substantial portion of our sales comes from or through a limited number of customers and channel partners that operate as resellers.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are unable to attract new customers and channel partners and increase member enrollment from new and existing customers and channel partners, our revenue growth could be slower than we expect, and our business may be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experience seasonality in our business, which may cause fluctuations in our financial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operate in a highly regulated industry and changes in regulations or the implementation of existing regulations could affect our operations.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Legislative or regulatory healthcare reforms or reductions in government spending may make it more difficult and costly to produce, market, and distribute our programs or to do so profitably.</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have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a limited operating history and have grown significantly in a short period of time. If we fail to manage our growth effectively, our business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were organized in 2011 and began offering Omada for Prevention &amp; Weight Health in 2012. Accordingly, we have a limited operating history, which makes an evaluation of our future prospects difficult. Our results of operations have fluctuated in the past, and we expect our future quarterly and annual results of operations to fluctuate as we focus on increasing the demand for our programs. We may need to make business decisions that could adversely affect our results of operations and prospects, such as modifications to our pricing strategy, business structure, or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experienced recent rapid growth. This growth has placed significant demands on our management and financial, operational, technological, and other resources, and we expect that any future growth will continue to place significant demands on our management and other resources and will require us to continue developing and improving our financial, operational, and other internal controls. In particular, continued growth increases the challenges involved in a number of areas, including recruiting and retaining sufficient skilled personnel, providing adequate training and supervision to maintain our high quality standards, and preserving our culture and values. We may not be able to address these challenges in a cost-effective manner, or at all. As we grow, we may also need to invest significant resources to improve and expand our technological systems, including reworking any existing technology and/or documenting existing features, and we may not be able to do so in a cost-effective manner or at all. If we are unable to efficiently update or further improve our technology infrastructure, we may need to hire additional personnel, including Care Team members, to support our programs and any future growth, which could limit our ability to achieve economies of scale. If we do not effectively manage our growth, we may not be able to execute on our business plan, respond to competitive pressures, take advantage of market opportunities, satisfy requirements from our customers and channel partners, or maintain high-quality offerings,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a history of net losses, and we may not be able to consistently achieve or maintain profitability in the future.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since our inception, and we may incur net losses in the future. For the years ended December 31, 2025, 2024, and 2023 we incurred net losses of $12.8 million, $47.1 million, and $67.5 million, respectively. As of December 31, 2025, we had an accumulated deficit of $456.7 million. We also expect our operating expenses to increase in future periods, and if our revenue growth does not increase to more than offset these anticipated increases in our operating expenses, we may not be able to consistently achieve or maintain profitability, and our business, financial condition, results of operations, and prospects will be harmed. Since inception, we have spent, and intend to continue to spend, significant funds to develop our programs, to develop our customer support resources, to scale our offerings, and to recruit and retain key talent. Some of these investments may not yield the revenue gains we anticipate and reduce our operating margin. If our investments are not successful, and if we are unable to successfully develop, commercialize, and market our programs to customers and channel partners, our ability to increase revenue may be adversely affected. In addition to the expected costs to grow our business, we also expect to incur significant additional legal, accounting, and other expenses as a newly public company. If we fail to increase our revenue to exceed the increases in our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expenses in any particular period, we will not be able to achieve profitability in that period or maintain profitability in the future.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current business strategy is highly dependent on our programs achieving and maintaining market acceptance. Market acceptance and adoption of our programs depend on our achieving and maintaining meaningful member engagement, clinical outcomes, and costs savings, and on educating employers, health plans, PBMs, health systems, government entities, and other customers and channel partners as to the distinct features, ease-of-use, and other perceived benefits of our programs as compared to competitive solutions and programs. If we are not successful in demonstrating to existing and potential customers and channel partners the benefits of our programs, or if we are not able to achieve the support of employers, health plans, PBMs, health systems, government entities, and other existing or potential customers or channel partners for our programs, our sales may decline, or we may fail to increase our sales in line with our forecasts.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Achieving and maintaining market acceptance of our programs could be negatively impacted by many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failure of our programs to achieve wide acceptance among people living with or at risk for chronic conditions, employers, health plans, PBMs, health systems, government entities, other existing or potential customers and channel partners, and key opinion leaders in the treatment community;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lack of evidence or peer-reviewed publication of clinical evidence supporting the efficacy, ease-of-use, cost-savings, safety, or other perceived benefits of our current or future programs or features, or perceived lack of compelling evidence, over competitive offerings or other currently available methodologies;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perceived risks associated with the use of our programs or similar solutions or technologies generally, including perceived risks regarding patient confidentiality, data privacy, artificial intelligence (“AI”), and cybersecurity;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introduction of competitive solutions or other advancements in healthcare or drugs and the rate of acceptance of those solutions and advancements as compared to our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results of clinical and financial studies relating to chronic condition programs or similar competitive solutions.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programs may be perceived by employers, health plans, PBMs, health systems, government entities, and other existing or potential customers and channel partners or our current or prospective members to be more complicated or less effective than other healthcare approaches. People may be unwilling to change their current health regimens, and existing or potential customers may be unwilling to change their benefits practices.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market for our programs is new, rapidly evolving, and increasingly competitive, as the healthcare industry in the U.S. is undergoing significant structural change, which makes it difficult to forecast demand for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virtual care market is relatively new, unproven, and rapidly evolving, and it is uncertain whether it will achieve and sustain high levels of demand, customer acceptance, and market adoption. Our future financial performance will depend in part on growth in this market and on our ability to adapt to emerging demands of our customers and channel partners and new lines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pPr>
      <w:r>
        <w:rPr>
          <w:rFonts w:ascii="Times New Roman;serif" w:hAnsi="Times New Roman;serif"/>
          <w:b w:val="false"/>
          <w:color w:val="000000"/>
          <w:sz w:val="20"/>
        </w:rPr>
        <w:t>It is difficult to predict the future growth rate and size of our target market. The forecasts that we use to anticipate expected growth for our business and revenue rely on assumptions and metrics that are difficult to estimate accurately, including but not limited to anticipated enrollment rates, our number of enrolled members, our ability to secure and retain business from new customers and channel partners or to secure additional business from additional customers and channel partners, the anticipated timing of securing that business, member engagement levels in our programs, and member outcomes from our programs, and our assumptions and estimates may not be accurate. In addition, the estimates of market opportunity and forecasts of market growth included in the documents we file or furnish with the SEC from time to time, may prove to be inaccurate, and even if the market in which we compete achieves the forecasted growth, our business could fail to grow at similar rates, if at all. Negative publicity concerning our programs, products prescribed through our offerings (see, for example, the risk factor titled “</w:t>
      </w:r>
      <w:r>
        <w:rPr>
          <w:rFonts w:ascii="Times New Roman;serif" w:hAnsi="Times New Roman;serif"/>
          <w:b w:val="false"/>
          <w:i/>
          <w:color w:val="000000"/>
          <w:sz w:val="20"/>
        </w:rPr>
        <w:t>Public opinion and scrutiny of treatments for obesity and overweight may impact public perception of our company and offerings or may adversely affect our ability to conduct our business and our business plans</w:t>
      </w:r>
      <w:r>
        <w:rPr>
          <w:color w:val="000000"/>
        </w:rPr>
        <w:t>”</w:t>
      </w:r>
      <w:r>
        <w:rPr>
          <w:rFonts w:ascii="Times New Roman;serif" w:hAnsi="Times New Roman;serif"/>
          <w:b w:val="false"/>
          <w:color w:val="000000"/>
          <w:sz w:val="20"/>
        </w:rPr>
        <w:t>), or our market as a whole could limit market acceptance of our programs. If our existing or potential customers, channel partners, and members do not perceive the benefits of our programs, or products prescribed through our offerings, or if our programs do not drive member enrollment, then our market may not develop at all, or it may develop more slowly than we expect. Our success will depend to a substantial extent on the willingness of existing and potential customers to increase their coverage of and support for our programs and our ability to demonstrate the value of our programs to our existing and potential customers and channel partners. If these entities do not recognize or acknowledge the benefits of our programs or products prescribed through our offerings, or if we are unable to reduce healthcare costs or drive positive health outcomes, then the market for our programs might not develop at all, or it might develop more slowly than we expect. In addition, negative publicity or negative customer or member sentiment regarding patient confidentiality, data privacy, AI, and cybersecurity in the context of technology-enabled healthcare or concerns experienced by us or our competitors could limit market acceptance of our programs. We face additional risks related to cybersecurity. See the risk factor titled “</w:t>
      </w:r>
      <w:r>
        <w:rPr>
          <w:rFonts w:ascii="Times New Roman;serif" w:hAnsi="Times New Roman;serif"/>
          <w:b w:val="false"/>
          <w:i/>
          <w:color w:val="000000"/>
          <w:sz w:val="20"/>
        </w:rPr>
        <w:t>Our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r>
        <w:rPr>
          <w:color w:val="000000"/>
        </w:rPr>
        <w:t xml:space="preserve">” </w:t>
      </w:r>
      <w:r>
        <w:rPr>
          <w:rFonts w:ascii="Times New Roman;serif" w:hAnsi="Times New Roman;serif"/>
          <w:b w:val="false"/>
          <w:color w:val="000000"/>
          <w:sz w:val="20"/>
        </w:rPr>
        <w:t>and other risks under the section titled “—Risks Relating to Cybersecurity, Information Systems, and Intellectual Property.”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healthcare industry in the U.S. is undergoing significant structural change and is rapidly evolving. We believe demand for our programs has been driven in large part by rapidly growing costs in the traditional healthcare system, the movement toward patient-centricity and more personalized healthcare, and advances in technology. Widespread acceptance of personalized healthcare is critical to our future growth and success. A reduction in the growth of personalized healthcare could reduce the demand for our programs and result in a lower revenue growth rate or decreased revenue. Additionally, we sell our programs using innovative pricing models, primarily charging for members who enroll and engage rather than at a population level, and the adoption of these models is still relatively new, especially in the healthcare industry. If companies do not shift to these types of models and these models do not achieve widespread adoption, or if there is a reduction in demand for products and services using models such as these,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while we do not currently enroll members from Medicare or Medicaid fee-for-service populations, recent changes in federal health policy and government programs have shown some increased interest in outcomes-based pricing models, expanding access to digital and preventive services, and lifestyle support. Recent modifications to the Medicare Physician Fee Schedule, as well as the passage of the PREVENT Diabetes Act, could allow more digital providers of diabetes prevention programs to access Medicare beneficiaries. In addition, the Centers for Medicare &amp; Medicaid Services has recently announced pilot programs for Medicare and Medicaid beneficiaries, some of which, among other things, aim to test the use of outcome-aligned payments for technology-enabled chronic care and to test new coverage avenues for GLP-1s and related lifestyle interventions. At this time, it is unclear whether these trends would continue or whether these developments would benefit our company, but our participation or lack of participation could be viewed negatively by our customers and channel partners, our members, our investors, the government, or the public. Pursuing new lines of business entails numerous risks, including new product development requirements and capabilities, increased investments, and the diversion of our management’s attention from our existing programs and initiatives. New or expanded government programs may not cover our services at desirable prices or on favorable terms. Our applications to participate in government programs may not be successful, and coverage programs can be terminated or policy changes reversed. In addition, competitors could be better positioned to serve certain markets, which could benefit those competitors near-term or long-term at our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if healthcare benefits trends shift or entirely new technologies, treatments, or drugs are developed that replace existing offerings, our existing or future programs could be rendered obsolete, and our business could be adversely affected. In addition, we may experience difficulties with software development, industry standards, design, or marketing that could delay or prevent our development, introduction, or implementation of new or enhanced programs.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market is in an early stage of development, it is evolving rapidly and becoming increasingly competitive, and we expect it to attract increased competition. We currently face competition from a range of digital health companies, including direct competition from competitors offering cardiometabolic programs, such as Hello Heart Inc., Lark Technologies, Inc., Livongo (via Teladoc Health, Inc.), Onduo LLC, Vida Health, Inc., and Virta Health Corp.; competitors offering only MSK programs, such as Hinge Health, Inc. and SWORD Health, Inc.; and those that offer both cardiometabolic and MSK programs, such as DarioHealth Corp. In some cases, our competitors also include enterprise companies that are focused on or may enter the healthcare industry generally, including initiatives and partnerships launched by these large companies, and those that offer point solutions for a single chronic condition. These companies, which may offer their solutions at lower prices, are continuing to develop additional products and becoming more sophisticated and effective. In addition, large, well-financed healthcare providers and health plans have in some cases developed their own platforms or tools and may provide these solutions at discounted prices. Competition from specialized software providers or device manufacturers, which may facilitate the collection of data but offer limited interpretation, feedback, or guidance, and other parties will result in continued pricing pressures, which are likely to lead to price declines in certain product areas, which could negatively impact our sales, profitability, and market share. Consumer technology companies may also offer solutions that feature health coaching, health advice, or other health services that may affect the demand for our programs. In addition, AI-native companies are launching offerings in the healthcare space, and we expect more companies to expand their AI tools into healthcare in the future.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healthcare providers may choose not to implement a digital health solution at all and instead may continue to rely on traditional, in-person approaches to healthcare. Moreover, our programs and systems are designed to comply with rules and regulations applicable to healthcare providers, and as a result, we must enter into contracts that appropriately reflect the obligations of a healthcare provider, including data privacy and healthcare regulatory requirements. We compete with wellness vendors whose products and services are not designed to comply with these rules and regulations and therefore may be preferred by potential customers and channel partners who view our programs and related healthcare provider requirements as overly complex or otherwise undesirable. The loss of potential customers and channel partners as a result of our status as a healthcare provider may have a material and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competitors may have, or new competitors or alliances may emerge that have, greater name and brand recognition, greater market share, a larger customer base, more or larger channel partner relationships, more widely adopted proprietary technologies, greater marketing expertise, larger sales forces, longer operating histories, or significantly greater resources than we do and may be able to offer solutions similar to ours at a more attractive price than we can, or may be acquired by third parties with greater available resources. In addition, our competitors have established, and may in the future establish, cooperative relationships with vendors of complementary products, technologies, or services to increase the availability of their solutions in the marketplace. Our competitors could also be better positioned to serve certain markets, which could create additional price pressure. As a result, our competitors may be able to respond more quickly and effectively than we can to new or changing opportunities, technologies, standards, or requirements from customers and channel partners and may have the ability to initiate or withstand substantial price competition. In light of these factors, even if our programs are more effective than those of our competitors, existing or potential customers and channel partners may accept competitive solutions in lieu of purchasing our programs. If we are unable to successfully compete,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Competitive solutions or other technological breakthroughs for the monitoring, treatment, or prevention of chronic conditions or technological developments may adversely affect demand for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achieve our strategic objectives will depend, among other things, on our ability to develop and commercialize programs for the monitoring, treatment, and prevention of chronic conditions that offer distinct features, are easy-to-use, provide measurable and meaningful cost savings to customers and channel partners, and are more appealing than available alternatives. Our competitors, as well as a number of other companies, within and outside the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industry, are pursuing new delivery devices, delivery technologies, sensing technologies, procedures, drugs, and other therapies and services for the monitoring, treatment, and prevention of chronic conditions. Any technological breakthroughs in monitoring, treatment, or prevention could reduce the potential market for our programs, which would significantly reduce our sales.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introduction by competitors of solutions that claim to be superior to our programs may create market confusion, which may make it difficult for potential customers and channel partners to differentiate the benefits of our programs over competitive products. In addition, the entry of multiple new products may lead some of our competitors to employ pricing strategies that could adversely affect the pricing of our programs. If a competitor develops a product that competes with or is perceived to be superior to our programs, or if a competitor employs strategies that place downward pressure on pricing within our industry, our sales may decline significantly or may not increase in line with our forecasts, either of which would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agreements with our customers and channel partners under which our fees are dependent in part upon the number of covered individuals that are enrolled in our programs each month. If the number of members covered for our programs by one or more of our customers or channel partners were to be reduced, such decrease would lead to a decrease in our revenue. The growth forecasts of our customers and channel partners are also subject to significant uncertainty and are based on assumptions and estimates that may prove to be inaccurate, and member enrollment in our programs could fail to grow at anticipated rates, or at 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some fees are subject to repayment pursuant to performance guarantees if certain clinical outcomes or other performance criteria are not met, which in some cases depend on the behavior of our members, such as their continued engagement with our programs, and other factors not entirely within our control. These clinical performance guarantees vary by program and track outcomes that are relevant to the specific condition or to savings, care utilization, and costs. We may agree to new and different performance guarantees in connection with existing programs or new offerings like those that may include prescribing. Currently, most clinical performance guarantees for our Omada for Prevention &amp; Weight Loss program measure percentage weight loss; most clinical performance guarantees for Omada for Diabetes measure reduction in A1C; most clinical performance guarantees for Omada for Hypertension measure reduction in blood pressure; and most clinical performance guarantees for Omada for MSK measure cost savings associated with the program, reductions in a member’s intent to seek surgery, or reductions in pain.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we generally enter into non-exclusive agreements with our channel partners, including health plans, PBMs, and other resellers, which rely in part on their customer sales, which are affected by factors outside of our control. Where channel partners do offer our programs exclusively, those channel partners may nevertheless choose to terminate those agreements or choose to no longer offer our programs exclusively. If the number of customers represented by one or more of our channel partners were to be reduced by a material amount or if our channel partners were to refer their customers to our competitors, such decreases may lead to a decrease in our total number of customers, member enrollment rate, and in our revenue, which could materially and adversely affect our business, financial condition, results of operations, and prospects. In addition, growth forecasts of our channel partners are subject to significant uncertainty and are based on assumptions and estimates that may prove to be inaccurate.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fees are generally dependent in part upon the number of covered individuals that are enrolled in our programs each month. Various factors may lead to a decrease in the number of individuals covered by our customers and channel partners and the number of programs they cover, including, but not limited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attrition of individuals covered by our customers;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of our customers or channel partners to adopt or maintain effective business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nature or operations of our customers or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continued acceptance of our programs for existing and new chronic conditions by covered individuals;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of development and release of new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features and functionality that are lower-cost alternatives introduced by us or our competitors;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government regulations, including the scope of government-sponsored healthcare;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technological changes and developments within the markets we serve;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economic conditions;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prevalence of different types of chronic conditions.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number of individuals covered by employers, health plans, PBMs, health systems, government entities, or other existing or potential customers decreases, or the number of programs they cover decreases, for any reason, our member enrollment may decline. We also seek to collect member cost-sharing amounts, such as copayments, co-insurance, or deductibles, directly from some members in connection with our MSK program, which we may be unable to collect. Any of these events could cause our revenue to decrease,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Member engagement in our programs and the clinical outcomes and cost savings of our offerings affect the market acceptance and adoption of our programs. Most of our customers and channel partners pay fees to us based on member enrollment and/or engagement with our programs, and our contracts generally may provide that we are obligated to repay a portion of our fees if our programs fail to deliver certain member engagement, clinical outcomes, or cost savings. If we are unable to demonstrate positive clinical outcomes for our members or expected cost savings, including if claims analyses or other studies fail to support the efficacy of our programs, we may receive less revenue from outcomes-based pricing models or be obligated to repay certain fees under our service-level agreements or performance guarantees, and existing and potential customers and channel partners may decide not to cover our programs at desirable prices or at all. If actual repayments differ from those in our assumptions, we could fail to meet our revenue expectations, and our operating and financial results could fall below our publicly announced guidance or the expectations of investors. Moreover, our failure to accurately account for repayment obligations could result in a material misstatement of our financial statements. In many cases, we incur high upfront costs to secure customers and channel partners, implement our programs, enroll members, and deliver our programs to those members, and our ability to recover those costs over time depends on sustained member engagement, positive clinical outcomes, and meaningful cost savings. As we scale delivery of our programs, we may experience difficulty in achieving and maintaining desired levels of member engagement, clinical outcomes, and cost savings for our customers and channel partners, and, as a result, our past performance may not be indicative of our ability to achieve positive member engagement, clinical outcomes, and cost savings in future periods. We assume the risk that the cost of providing our programs will exceed the compensation we receive. If we fail to achieve or maintain meaningful member engagement, clinical outcomes, and cost savings for our customers and channel partners,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We incur significant upfront costs in establishing and expanding our relationships with employers, health plans, PBMs, health systems, government entities, and other existing and potential customers and channel partners, and if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unable to maintain and grow these relationships over time, we are likely to fail to recover these costs,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devote significant resources to establish and expand upon our relationships with employers, health plans, PBMs, health systems, government entities, and other existing and potential customers, channel partners, and strategic partners to offer and implement our programs. This is particularly so in the case of large organizations, including health plans and PBMs, and government entities, that often request or require specific features, functions, or integrations unique to their particular business processes. Accordingly, our results of operations will depend in substantial part on our ability to enroll individuals covered by our customers and channel partners to participate in our programs, deliver a successful experience for customers, channel partners, and members, and persuade existing and potential customers and channel partners to maintain and grow their relationship with us over time. Additionally, as our business grows, our costs in acquiring customers and channel partners could outpace our build-up of recurring revenue, and we may be unable to reduce our total operating costs through economies of scale such that we are unable to sustain profitability. If we fail to achieve appropriate economies of scale, if our investments in these relationships fail to materialize, or if we fail to manage or anticipate the evolution and demand of our billing model, our enrollment rate may decrease, and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 significant upfront costs in establishing our relationships with members, and if we are unable to maintain member engagement over time, we are likely to fail to recover these costs,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devote significant resources to securing access to customers, channel partners, and their covered individuals, informing covered individuals that our programs are available to them, and enrolling covered individuals as members in our programs. We also incur significant upfront costs in providing devices and supplies to members upon enrollment in our programs. Accordingly, our results of operations and prospects will depend in substantial part on our ability to deliver a successful experience for members and maintain member engagement over time. Additionally, as our business grows, our upfront member acquisition and enrollment costs could outpace our build-up of recurring revenue, and we may be unable to reduce our total operating costs through economies of scale such that we are unable to sustain profitability. If we fail to achieve appropriate economies of scale, fail to maintain sufficient member engagement, or fail to manage or anticipate the evolution and demand of our billing model,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substantial portion of our sales comes from or through a limited number of customers and channel partners that operate as resellers.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relied on a limited number of customers, including employers, health plans, PBMs, health systems, government entities, and other entities that pay for the cost of our programs, and channel partners, including health plans and PBMs,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Some of the health plans and PBMs we work with as channel partners also cover our programs directly, for a portion of their own members, as our customers. Sales from or through our top five health plan and PBM partners, including any sales to these entities as customers and sales through these entities as channel partners, represented 77%, 69% and 68% of our revenue for the years ended December 31, 2025, 2024, and 2023, respectively. For the year ended December 31, 2025, we had one health plan or PBM that accounted for 32% of our revenue, and a second health plan or PBM that accounted for 33% of our revenue. For the year ended December 31, 2024, we had one health plan or PBM that accounted for 36% of our revenue, and a second health plan or PBM that accounted for 19% of our revenue. For the year ended December 31, 2023, we had one health plan or PBM that accounted for 36% of our revenue, and a second health plan or PBM that accounted for 19% of our revenue. Each of these health plans or PBMs are affiliates of The Cigna Group. In general, our customers and channel partners work with us on a non-exclusive basis. If we are unable to establish, maintain, or grow these relationships over time or if customers or channel partners refer business to our competitors instead, we are likely to fail to recover these costs and our results of operations and prospects will suffer. The loss of any of our key customers or channel partners could negatively impact our revenue as we work to obtain new customers or establish replacement channel partner relationships. Contracts with our key customers and channel partners may be terminated before their term expires for various reasons, subject to certain conditions. For example, most of our contracts are terminable for convenience by our customers and channel partners, subject to a notice period. Certain contracts may be terminated immediately by the customer or channel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partner if we go bankrupt, if we lose applicable licenses or are suspended or debarred from participation in government-funded healthcare programs, or if we fail to comply with certain specified laws.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could also lose customers if those customers contract for our programs through a health plan or other channel partner and subsequently elect to migrate to a new health plan or channel partner with which we do not have an existing contractual relationship for certain programs or at all or are not able to establish a new contractual relationship. Additionally, mergers and acquisitions involving us, our customers, our channel partners, or their competitors could lead to cancellation or non-renewal of our contracts with those customers or channel partners or by the acquiring or combining companies, thereby reducing the number of our existing and potential customers, channel partners, and members. Acquisitions involving our customers or channel partners could also lead to a loss of customers, channel partners, or members if we are not contracted, or are unable to obtain a contract, with the acquiring company or its benefit providers or channel partners. In order to grow our business, we anticipate that we will continue to depend on our relationships with third parties, including our channel partners. Identifying channel partners and negotiating and documenting relationships with them requires significant time and resources. Our competitors may be effective in providing incentives to third parties to favor their products or services or to prevent or reduce enrollments in, or utilization of, our programs. If we are unsuccessful in establishing or maintaining our relationships with third parties, our ability to compete in the marketplace or to grow our revenue could be impaired, and our results of operations and prospects may suffer. Even if we are successful, these relationships may not result in increased use of our programs by customers, channel partners, or members or increased revenue.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attract new customers and channel partners and increase member enrollment from new and existing customers and channel partners, our revenue growth could be slower than we expect, and our business may be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and expect to continue to generate, revenue from member enrollment and engagement in our programs. As a result, widespread acceptance and use of virtual-first care for chronic conditions in general, and our platform in particular, is critical to our future growth and success. If the market fails to grow or grows more slowly than we currently anticipate, demand for our programs could be negatively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achieve significant growth in revenue in the future will depend, in large part, upon our ability to attract new customers and channel partners. If we fail to attract new customers and channel partners and fail to maintain and expand new relationships, our revenue may grow more slowly than we expect, may not grow at all, or may decline, and our business may be adversely affected. Once we enter into an agreement with a customer or channel partner, our revenue will depend on the number of covered individuals we successfully enroll as members and their ongoing engagement in the programs. Demand for virtual-first care for chronic conditions in general, and our platform in particular, is affected by a number of factors, many of which are beyond our control. Some of these potential factors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awareness of our programs and the adoption of technology in healthcare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ease of adoption and use;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features and program experience;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performance;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brand;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data privacy and cybersecurity;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pricing.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revenue growth also depends upon increasing member enrollment with existing customers and channel partners. If we are not successful in increasing member enrollment in the programs currently contracted for by our customers and channel partners (or future programs our customers or channel partners contract for over time), or if our customers or channel partners do not renew their agreements or renew their agreements with us at lower prices or on less favorable terms, our revenue may grow more slowly than expected, may not grow at all, or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Customer and channel partner renewals may decline or fluctuate as a result of a number of factors, including the breadth of early deployment of our programs, meaningful reductions in our customers’ spending levels, changes in their business models and use cases, the actual or perceived clinical outcomes or cost savings of our programs, satisfaction or dissatisfaction with our programs among our customers and channel partners, our pricing or pricing structure, the pricing or capabilities of products or services offered by our competitors, or the effects of economic conditions. Any prolonged shutdown of a significant portion of global economic activity or a downturn in the global or domestic economy, including as a result of a pandemic or public health threat (such as the COVID-19 pandemic), would adversely affect the industries in which our customers and channel partners operate, which could adversely affect their willingness or ability to renew their agreements with us. If our customers or channel partners do not renew their agreements with us, or renew on terms less favorable to us, our revenue may decline.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Potential members’ failure to enroll after a customer or channel partner enters into an agreement with us could materially and adversely affect our business, financial condition, results of operations, and prospects.</w:t>
      </w:r>
    </w:p>
    <w:p>
      <w:pPr>
        <w:pStyle w:val="TextBody"/>
        <w:bidi w:val="0"/>
        <w:spacing w:lineRule="auto" w:line="288" w:before="0" w:after="240"/>
        <w:ind w:left="0" w:right="0" w:firstLine="450"/>
        <w:jc w:val="both"/>
        <w:rPr/>
      </w:pPr>
      <w:r>
        <w:rPr>
          <w:rFonts w:ascii="Times New Roman;serif" w:hAnsi="Times New Roman;serif"/>
          <w:b w:val="false"/>
          <w:color w:val="000000"/>
          <w:sz w:val="20"/>
        </w:rPr>
        <w:t>We believe our future success will depend in part on our ability to increase both the speed and success of member enrollment, by improving our member outreach, engagement, and enrollment methodology, hiring and training qualified professionals, and increasing our ability to integrate into large-scale, complex technology environments. In some cases, customers and channel partners initially enter into an agreement with us for one or more of our programs, but, for a variety of potential reasons, covered individuals fail to ultimately enroll at the expected volume. For example, the conditions that our programs address may be less prevalent among the covered individuals than we expect and/or our customers and channel partners may provide limited contact information for outreach campaigns or otherwise not adequately enable or permit outreach campaigns to covered individuals generally or at our preferred timing. In addition, we rely on email outreach to enroll covered individuals, and from time to time, the interfaces, features, or policies of email applications, email service providers, mobile device operating systems, or other relevant software are altered or updated, which may adversely impact our ability to effectively reach covered individuals to facilitate their enrollment, and as a result, could materially and adversely affect member enrollment rates. For these and other reasons, our forecasts may not accurately estimate enrollment rates or the number of enrolled members. For additional information on the assumptions we rely on to anticipate expected growth for our business and revenue, see the risk factor titled “</w:t>
      </w:r>
      <w:r>
        <w:rPr>
          <w:rFonts w:ascii="Times New Roman;serif" w:hAnsi="Times New Roman;serif"/>
          <w:b w:val="false"/>
          <w:i/>
          <w:color w:val="000000"/>
          <w:sz w:val="20"/>
        </w:rPr>
        <w:t>The market for our programs is new, rapidly evolving, and increasingly competitive, as the healthcare industry in the U.S. is undergoing significant structural change, which makes it difficult to forecast demand for our programs</w:t>
      </w:r>
      <w:r>
        <w:rPr>
          <w:rFonts w:ascii="Times New Roman;serif" w:hAnsi="Times New Roman;serif"/>
          <w:b w:val="false"/>
          <w:color w:val="000000"/>
          <w:sz w:val="20"/>
        </w:rPr>
        <w:t>.” If we are unable to achieve the expected volume of member enrollment, or unable to do so in a timely manner, customers and channel partners are unlikely to renew their agreements with us and/or expand their agreements with us to include additional programs, and we would not be able to generate future revenue from those relationships,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customers or channel partners are unwilling or unable to conduct or enable outreach campaigns directed at covered individuals, we may not enroll members at the rates we expect, which may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largely on information supplied by our customers and channel partners to conduct outreach campaigns directed at covered individuals, and though we often assist with these outreach campaigns, we do not control our customers’ or channel partners’ enrollment outreach schedules. As a result, if they are unwilling or unable to supply information needed for outreach campaigns or are unwilling or unable to enable outreach campaigns generally, or if enrollment launch dates are delayed, we could fail to meet our enrollment and revenue expectations, which may adversely impact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size of the addressable markets for our programs are estimates and may be smaller than we believe.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estimate of the total addressable market for our programs is based on a number of internal and third-party estimates. While we believe these factors have historically provided and may continue to provide us with effective tools in estimating the total market for prediabetes and diabetes, hypertension, musculoskeletal conditions, and our programs, these estimates may not be correct, and the conditions supporting our estimates may change at any time, thereby reducing the predictive accuracy of these underlying factors. As a result, our estimates of the total addressable market for our programs may prove to be incorrect. In addition, changes in underlying causes or risk factors for the conditions that our programs address, such as the impact of GLP-1 drugs on obesity, could impact our estimates of the total addressable market. If the actual number of members who would benefit from our programs and the total addressable market for our programs is smaller than we have estimated, our future growth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employed 916 full-time employees, which includes our health coaches and other Care Team members as well as individuals across sales and marketing, research and development, and general and administrative functions. In the future, we expect to expand our managerial, clinical, scientific, technological, operational, finance, and other resources in order to manage our operations and continue our program development activities. Our management and personnel, systems, and facilities currently in place may not be adequate to support this future growth. In particular, we rely in large part on our Care Teams for the delivery of our programs, and we may be unable to scale our Care Teams efficiently to manage costs through economies of scale due to limitations on the number of members that our Care Teams are able to support. If we fail to do so, we may incur significant costs, which could have a material adverse effect on our business, financial condition, results of operations, and prospects, and negatively impact our ability to sustain profitability in the future.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need to effectively execute our growth strategy requires that we efficiently identify, recruit, retain, incentivize, and integrate additional talent, and maintaining good relationships with our employees and other service providers is crucial to our operations. Our employees may attempt to unionize, which could limit our ability to manage our workforce effectively, cause disruptions to our operations, including as a result of strikes, work stoppages, or other labor disputes, and otherwise materially and adversely affect our business, financial condition, results of operations, and prospects.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shift by companies to adopt business models billed based on enrollments, engagement, and/or outcomes, and, in particular, the market for our programs, develops more slowly than we expect, our growth may slow or stall, and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on companies shifting to business models billed based on enrollments, engagement, and/or outcomes and choosing to adopt healthcare products and services through such models. The adoption of these types of health management programs is still relatively new, and enterprises may choose not to shift their business models or, if they do, may decide that they do not need a healthcare solution that offers the range of services that we offer. Accordingly, it is difficult to predict adoption rates and demand for our programs, the future growth rate and size of our market, or the entry of competitive solutions. Factors that may affect market acceptance of our programs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companies shifting to these business models;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consumers and businesses adopting new, flexible ways to consume products and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success in informing covered individuals that our programs are available to them and the number of covered individuals that choose to enroll in our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security capabilities, reliability, and availability of cloud-based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concerns from customers, channel partners, or members with entrusting a third party to store and manage their data, especially health-related, confidential, or sensitive data;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minimize the time and resources required to launch our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maintain member engagement and high levels of member satisfaction;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provide measurable and meaningful cost savings to existing and potential customers and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deliver upgrades and other changes to our programs without disruption to our customers, channel partners, or members;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level of customization or configuration we offer within our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price, cost-savings, performance, and availability of competing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markets for products and services billed based on enrollments, engagement, and/or outcomes generally, and for solutions for chronic conditions in particular, may not develop further or may develop more slowly than we expect. If companies do not shift to these business models and these health management tools do not achieve widespread adoption, or if there is a reduction in demand for these types of products and services or health management tools due to technological challenges, weakening economic conditions, data privacy or cybersecurity concerns, decreases in corporate spending, a lack of acceptance among prospective members, or otherwise,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programs may result in member harm or injury.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programs are designed under the oversight of qualified healthcare professionals, and we train our Care Teams to comply with appropriate standards and protocol for delivery of care and the recognition and management of escalation events. Our success depends in part on the ability of our healthcare professionals to obtain and maintain all necessary licenses, certifications, permits, and other approvals, and to provide services to members in compliance with applicable laws, including scope of practice laws, as well as our policies. Nevertheless, if future results or experience indicate that our programs cause unexpected or serious complications or other unforeseen negative effects, our members may seek significant compensation from us or our affiliated professional entities or cease using our platform and programs, or our customers or channel partners could cease doing business with us. We may also be contractually required to indemnify and hold harmless third parties, such as customers or channel partners, from the costs of member harm or injury. There can be no assurance that provisions typically included in our terms with members or in our agreements with our customers and channel partners that attempt to limit exposure to legal claims would be enforceable or adequate or would protect us or our affiliated professional entities from liabilities or damages. Even if a claim is not successful, any claim brought against us or our affiliated professional entities would likely be time-consuming and costly to defend and could seriously damage our reputation and brand, our business, or the business of our affiliated professional entities. In addition, we may not carry insurance sufficient to compensate us for any losses that may result from such claims. As a result, we or our affiliated professional entities could face significant legal liability or harm to our or our affiliated professional entities’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disruption of service at our third-party data centers and hosting providers, including Amazon Web Services (“AWS”), or at software-as-a-service (“SaaS”) companies or other vendors could interrupt or delay our ability to deliver our programs to our customers, channel partners, and members and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host our platform, serve our customers, channel partners, and members, and support our operations primarily from third-party data centers and hosting providers, including AWS, a provider of cloud infrastructure services, and we also rely on other services provided by SaaS companies and other vendors. We expect this dependence on third parties to continue. We do not have control over the operations of the facilities of our data center providers or hosting providers, including AWS, SaaS companies, or other vendors. These facilities are vulnerable to damage or interruption from earthquakes, hurricanes, floods, fires, cyberattacks, terrorist attacks, power losses, telecommunications failures, public health emergencies, and similar events. The occurrence of a natural disaster or an act of terrorism, a decision to close the facilities without adequate notice, or other unanticipated problems could result in lengthy interruptions in our ability to deliver our programs. The facilities also could be subject to break-ins, computer viruses, sabotage, intentional acts of vandalism, and other misconduct. The continued and uninterrupted performance of our programs and connected devices provided in connection with our programs is critical to our success. We may experience material interruptions, disruptions, outages, and other performance problems to our systems as a result of third-party data centers and hosting providers, including AWS, SaaS companies, or other vendors. Because our programs are used by our members to manage chronic conditions and inform programs of certain health plans, PBMs, employers, or other customers in approving certain prescriptions or refills, it is critical that our programs and related connected devices be accessible without significant interruption or degradation of performance. Members may become dissatisfied by any system failure that interrupts our ability to provide our programs to them or that impacts the functionality of the connected devices provided in connection with our programs. Outages could lead to the triggering of our service-level agreements or performance guarantees and the issuance of repayments to our customers and channel partners, in which case, we may not be fully indemnified for such losses pursuant to our agreement with AWS, SaaS providers, or other vendors. We may not be able to easily switch our AWS operations to another cloud provider if there are disruptions or interference with our use of AWS. Sustained or repeated system failures would reduce the attractiveness of our programs to customers, channel partners, and members and result in contract terminations, thereby reducing revenue and harming our business, financial condition, results of operations, and prospects. Moreover, negative publicity arising from these types of disruptions could damage our reputation and may adversely impact use and adoption of our programs. We may not carry sufficient business interruption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insurance to compensate us for losses that may occur as a result of any events that cause interruptions in our ability to deliver our programs. To the extent we do not effectively respond to any such interruptions, upgrade our systems as needed, and continually develop our technology and network architecture to accommodate traffic, our business, financial condition, results of operations, and prospects could be materially and adversely affected. Furthermore, our disaster recovery systems and those of third parties with which we do business may not function as intended or may fail to adequately protect our critical business information in the event of a significant business interruption, which may cause cybersecurity breaches or the loss of data or functionality and could, in turn, lead to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third-party data center and hosting providers, including AWS, SaaS providers, and other vendors do not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center or hosting providers, we may experience costs or downtime in connection with the transfer to, or the addition of, new providers. If these providers were to increase the cost of their services, we may have to increase the price of our programs, and our business, financial condition, results of operations, and prospects could be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Most of our contracts with customers and channel partners require that we deliver certain connected devices and other supplies to new members within a certain period of time, and certain of our contracts also provide that we will coordinate with external partners for certain healthcare services complementary to and/or included in our programs, such as certain prescriptions or physician referrals. If we are unable to meet these obligations, our customers and channel partners may decide to terminate their contracts.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limited number of suppliers for devices and supplies that we deliver in connection with our programs, including wireless scales, blood pressure monitors, blood glucose monitors, and other supplies, and a limited number of third parties for cellular device connections. We utilize a single supplier and exclusive partner for continuous glucose monitors provided in Omada for Diabetes and work with a single distributor for delivery of the continuous glucose monitors. We also rely on a limited number of external partners to supply certain healthcare services complementary to but not included in our programs, such as prescriptions for continuous glucose monitors or other items or physician referrals to physical therapy, where required.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our business strategy to be successful, our suppliers and partners must be able to provide us with devices, supplies, connectivity, and services in sufficient quantities, in compliance with regulatory requirements and quality control standards, in accordance with agreed-upon specifications, at acceptable costs, and on a timely basis. Increases in our program sales, whether forecasted or unanticipated, could strain the ability of our suppliers and partners to deliver an increasingly large supply of devices, supplies, connectivity, or services in a manner that meets these various requirements. Our suppliers and partners may encounter problems that limit their ability to supply products, supplies, and services for us, or that result in increases in the prices they charge us for such products, supplies, and services, including financial difficulties, labor shortages, the imposition of new trade protection measures, such as tariffs and other duties (including uncertainty related to the implementation and enforceability thereof), and shutdowns related to epidemics, pandemics, or other health crises, and, for our device and supply partners, shipping delays, damage to their manufacturing equipment or facilities, or challenges with establishing and operating new facilities in new jurisdictions. Quality or performance failures of these devices, supplies, connectivity, or services or changes in our partners’ financial or business condition could disrupt our ability to supply quality devices and supplies to our members or to connect them to quality services,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dependent on a limited number of third-party manufacturers and suppliers who operate in international markets, which exposes us to foreign operational and political risks that may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limited number of manufacturers and suppliers for devices and supplies that we deliver in connection with our programs, including wireless scales, blood pressure monitors, blood glucose monitors, and other supplies, and, among other things, certain of the technology and raw materials used in the manufacturing of those devices and supplies. Most of the devices and supplies delivered in connection with our programs are currently manufactured in China and may be manufactured in other international markets in the future. Our reliance on an international supply chain exposes us to risks and uncertainties,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controlling quality of supplies;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trade protection measures, such as tariffs and other duties (including uncertainty related to the implementation and enforceability thereof), especially in light of previous and potential future actions by the Trump Administration signaling more aggressive trade policies, which could exacerbate trade disputes between the U.S. and several foreign countries, including China, as well as sanctions and export control measures targeting certain countries, and increases in the prices of devices and supplies delivered in connection with our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political, social, and economic instability;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outbreak of contagious diseases, such as COVID-19;</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laws and business practices that favor local companies;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interruptions and limitations in telecommunication services, shipping services, or logistics;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product or material delays or disruption;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import and export license requirements and restrictions;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difficulties in the protection of intellectual property;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exchange controls, currency restrictions, and fluctuations in currency values;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potential adverse tax consequences.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of these risks were to materialize, our third-party manufacturers and suppliers may be unable to provide the devices and other supplies in the required amounts or at the contracted cost. As a result, we may need to contract with new manufacturers and suppliers, which could increase our costs and delay the delivery of devices and other supplies to our members. Our contracts with customers and channel partners generally provide that we will deliver devices and supplies to members at the beginning of their participation in our programs, and any failure to do so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manufacturers and suppliers are unable to procure raw materials or semi-finished products or to produce the devices provided in connection with our programs, our business may suffer.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suppliers or third-party manufacturers of the devices provided in connection with our programs experience shortages, limited access to, or increased costs of certain raw materials and other semi-finished or finished goods, it may result in production delays or delays in deliveries to members of the connected devices and other supplies provided in connection with our programs. Production by one or more manufacturers or suppliers may be suspended or delayed, temporarily or permanently, due to economic or technical problems such as the insolvency of the manufacturer, the failure of the manufacturing facilities, or disruption of the production process, all of which are beyond our control. Any shortage, delay, or interruption in the availability of the connected devices and supplies provided in connection with our programs may negatively affect our ability to meet demand. As a result, our business may be unable to offer a satisfactory experience to customers, channel partners, and members,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experience seasonality in our business, which may cause fluctuations in our financial results.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Historically, we have experienced, and expect to continue to experience, seasonality in our business, with a higher number of closed sales in the late spring and early fall and higher enrollment launch rates in the first and second quarters of the year. We believe that this results in part from the timing of open enrollment periods of many of our customers. We may be affected by seasonal trends in the future, particularly as our business matures. These effects may become more pronounced as we target larger organizations with larger budgets for use of our programs. These factors may contribute to substantial fluctuations in our quarterly results of operations. Because of these fluctuations, among other factors, it is possible that in future periods our results of operations will fall below the expectations of securities analysts or investors, in which case the market price of our common stock would likely decrease. These fluctuations, among other factors, also mean that our results of operations in any particular period may not be relied upon as an indication of future performance.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the devices and other supplies provided in connection with our programs, connectivity of those devices, or services complementary to our programs may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Severe weather, natural disasters, and other catastrophic events, including pandemics or other public health crises (such as the COVID-19 pandemic),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supply the devices and other supplies provided in connection with our programs, connectivity of those devices, or services complementary to our programs, and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natural disaster or other catastrophic event occurs that prevents us or third-party suppliers from using all or a significant portion of our or their headquarters or other facilities, that damages critical infrastructure, such as our enterprise financial systems or manufacturing resource planning and enterprise quality systems, or that otherwise disrupts operations, it may be difficult or, in certain cases, impossible, for us to continue our business for a substantial period of time. A mechanical failure or disruption affecting any major operating line may result in a disruption to our ability to supply customers, channel partners, and members, and standby capacity may not be available.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a number of risks related to the credit card and debit card payments we accept.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accept payments from a limited number of members who pay member cost-sharing amounts, such as copayments, deductibles, or co-insurance, for our programs and pay those amounts through credit and debit card transactions. We receive these payments through third-party providers, which subjects us to compliance with the rules of the payment card networks (including the payment card industry data security standards) and laws and regulations governing electronic funds transfers, which could change or be reinterpreted to make it more difficult for us to comply. Although we primarily rely on these third-party providers for payment processing, to the extent a data breach of payment data occurs on our or their systems, we may be liable for significant costs incurred by customers, channel partners, banks, and other third parties or subject to fines and higher transaction fees, or our ability to accept or facilitate certain types of payments may be impaired. In the event of any fraud, if we fail to adequately control fraudulent transactions, we may face civil liability, diminished public perception of our security measures, and significantly higher payment-related costs, each of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failure on our part to comply fully with the foregoing laws, rules, and regulations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bank accounts, credit and debit cards, card holders, and transactions.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use AI and machine learning to operate certain features of our programs and to enable certain business processes, which due to a changing regulatory landscape, could adversely affect our business, financial condition, and results of operations.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AI, machine learning, and automated decision-making technologies, including our own and third-party AI and machine learning algorithms and models (collectively, “AI technologies”), throughout our business, and we are making significant investments in this area. For example, we use AI technologies to generate and surface insights to our Care Teams as part of our efforts to increase their efficiency and productivity and to power certain member-facing features of our programs intended to deliver only educational resources, recommendations, or support, in each case, for maintaining or encouraging a healthy lifestyle. This includes OmadaSpark, an AI-powered agent that works directly with members alongside our Care Teams to support instant meal tracking and nutrition education, and Meal Map, an AI-driven nutrition experience that helps members understand the quality of their food choices.</w:t>
      </w:r>
    </w:p>
    <w:p>
      <w:pPr>
        <w:pStyle w:val="TextBody"/>
        <w:bidi w:val="0"/>
        <w:spacing w:before="0" w:after="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additional investment will be required to continuously improve our use of AI technologies. As with many technological innovations, there are significant risks involved in the development, maintenance, and deployment of AI technologies, and there can be no assurance that our or our third-party service providers’ or partners’ use of these technologies will perform as expected, enhance our products or services, or be beneficial to our business, including our efficiency or profitability. For example, the continued use of any AI technologies in our products and services may give rise to risks related to, among other things, inaccurate, biased, unreliable, or harmful recommendations or outputs; data privacy, confidentiality, cybersecurity, and data provenance concerns; the potential for third-party AI model providers to leak or misuse our data; the risk of data poisoning or other adversarial attacks on AI systems; new or enhanced governmental or regulatory scrutiny, litigation, or other legal liability; ethical concerns; claims that we have overstated the capabilities and benefits of our AI technologies; negative perceptions as to AI among customers, channel partners, or members; and other complications that could erode confidence in our brand, harm our reputation, and adversely affect our business, financial condition, results of operations, and prospects. While we have instituted policies applicable to our Care Teams and other employees and consultants that govern the development and use of AI, these individuals may breach or violate the terms of these policies, including through the use of unapproved AI technologies or the use of approved AI technologies in unapproved ways, which may result in loss or unauthorized disclosure of sensitive information, including PHI, in a manner that violates applicable laws, rules, and regulations or contractual commitments to third parties, as well as other liabilities.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face significant competition from other companies with respect to utilizing AI technologies. To the extent AI technology development and utilization from our industry competitors proves to be successful, or more successful than our approach, demand for our programs, and thus our business, could be adversely affected. If we cannot develop, offer, or deploy new AI technologies as effectively, as quickly, and/or as cost-effectively as our competitors, or if we cannot access the infrastructure needed to continue our development, our operating results, relationships with customers and channel partners, and growth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rapid evolution of AI technologies will require the application of resources to develop, test, maintain, and improve our programs to help ensure that the AI technologies are, and remain, accurate and efficient. We expect our AI technology initiatives will over time require increased investment in technology infrastructure and may require additional specialized headcount. The continuous development, testing, maintenance, and deployment of our AI technologies may also increase the cost profile of our offerings and may involve unforeseen difficulties including material performance problems, undetected defects, or errors. We may encounter technical obstacles, and it is possible that we may discover additional problems that may prevent our AI technologies from operating properly, which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our own AI technologies, we use AI technologies licensed from third parties in our technologies,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use AI technologies, including tools provided by third parties, to develop or assist in the development of our own software code. While use of such tools can make our development process more efficient, AI technologies have sometimes generated content that is “substantially similar” to proprietary or open source code on which the AI tool was trained. If the AI technologies generate code that is too similar to other proprietary code, or to software processes that are protected by patent, we could be subject to intellectual property infringement claims. We also may not be able to anticipate and detect security vulnerabilities in any AI-generated software code. If our tools generate code that is too similar to open source code, we risk losing protection of any of our own proprietary code that may be commingled with that code. Finally, to the extent we use third-party AI technologies to develop software code, the terms of use of these tools may state that the third-party provider retains rights in the generated code.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framework for AI is rapidly evolving, and many federal, state, and foreign governmental bodies and agencies have introduced and/or are currently considering additional laws and regulations. In the U.S.,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In October 2023, President Biden issued an Executive Order on the Safe, Secure, and Trustworthy Development and Use of Artificial Intelligence, which emphasized AI safety and security and addressed topics such as civil rights, privacy, consumer protection, and accountable federal use of AI. In January and July 2025, President Trump issued three executive orders on AI, one of which repealed President Biden’s 2023 Executive Order, shifting the focus towards removing regulatory barriers to the adoption of AI technologies and accelerating AI deployment.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absence of federal AI legislation, states have filled the void by enacting laws regulating different aspects of AI technologies. For example, the California Privacy Protection Agency recently finalized regulations under the California Consumer Privacy Act, as amended by the California Privacy Rights Act of 2018 (collectively, the “CCPA”), regarding the use of automated decision-making and providing disclosures to consumers regarding such use. California also enacted a number of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Many states have also enacted sector-specific AI laws, including related to the use of AI for health-related purposes. However, the durability of these laws and the potential of additional state-level legislative activity faces uncertainty following President Trump’s December 2025 Executive Order “Ensuring a National Policy Framework for Artificial Intelligence.” This Executive Order establishes a federal policy favoring a uniform national AI regulatory framework designed to promote innovation and U.S. global competitiveness. The order directs federal agencies to identify, challenge, and potentially pre-empt state and local AI laws that are viewed as inconsistent with or burdensome to this national approach. It remains to be seen how agencies will effectuate this directive and how states will approach AI legislation moving forward. New laws, rules, directives, and regulations governing AI technologies and changes to existing ones may adversely affect the ability of our business to use or rely on certain AI technologies. Implementation standards and enforcement practice are likely to remain uncertain for the foreseeable future, and we cannot yet determine the impact future laws, regulations, standards, or perception of their requirements may have on our programs and our business. We may not always be able to anticipate how to respond to these new or updated laws or regulations, and they may affect our ability to use AI technologies. Further, the cost to comply with such laws or regulations, or decisions and/or guidance interpreting existing laws, including the redesign of our platform or programs to achieve compliance, could be significant and could increase our operating expenses, and we may be at increased risk of claims against us. Any actual or perceived failure to comply with evolving regulatory frameworks around the development and use of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technologies could materially and adversely affect our brand,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attract and retain senior leadership and key clinical, scientific, and technology employees and other service providers, our business may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continued ability to attract, retain, and motivate highly qualified leadership and clinical and scientific talent. We are highly dependent upon our senior leadership, particularly our Co-Founder and Chief Executive Officer, Sean Duffy, our President, Wei-Li Shao, and our Chief Financial Officer, Steve Cook, as well as our senior clinical, scientific, and technology employees and other service providers and other members of our senior management team. Mr. Duffy, Mr. Shao, Mr. Cook, and other members of our senior management team are at-will employees, which means that they could resign or be terminated for any reason at any time. The unplanned loss of the services of any of our members of senior leadership could materially and adversely affect our business until a suitable replacement can be found, which may not be immediate and could require us to expend significant resources.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Competition for qualified talent in the digital health field in general is intense due to the limited number of individuals who possess the training, skills, and experience required by our industry. In addition, our future growth and success also depend on our ability to attract, recruit, develop, and retain skilled managerial, clinical, scientific, sales, administration, operating, and technical employees and other service providers. We will continue to review, and where necessary, strengthen, our senior leadership as the needs of our business develop, including through internal promotion and external hires. However, there may be a limited number of persons with the requisite competencies to serve in these positions, and we cannot assure you that we would be able to locate or employ such qualified talent on terms acceptable to us, or at all. Therefore, the unplanned loss of one or more of our key employees or other service providers, or our failure to attract and retain additional key employees or other service providers, could have a material adverse effect on our business, financial condition, results of operations, and prospects. In addition, to the extent we hire talent from competitors, we may be subject to allegations that such employees or other service providers have divulged proprietary or other confidential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success is dependent upon our continued ability to recruit and maintain the personnel for our member-facing Care Teams, composed of health coaches, relevant specialists, and licensed physical therapists. Our Care Teams are intended to remain with a member throughout their entire journey with Omada. If we are unable to recruit and retain Care Team personnel, our ability to provide continuity of care to our members may suffer, and our business may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rely largely on our direct sales force, and if we are unable to maintain or expand our sales force, it could impede our growth or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largely on our direct sales force to market and sell our products to customers and channel partners. We do not have any long-term employment contracts with the members of our direct sales force. Our results of operations are directly dependent upon the sales and marketing efforts of our sales and customer support teams. If our employees fail to adequately promote, market, and sell our products, our sales could significantly decrease. If our sales and marketing representatives fail to achieve their objectives, we may not enter into agreements with new customers or channel partners or maintain existing agreements, and member enrollment could decrease or may not increase at levels that are in line with our forecasts. As we launch new programs, expand our program offerings, and increase our marketing efforts with respect to existing programs, we will need to expand the reach of our marketing and sales networks. Our future success will depend largely on our ability to continue to hire, train, retain, and motivate skilled employees with significant technical knowledge in various areas. New hires require training and take time to achieve full productivity.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other companies in our industry may rely predominantly or in part on third-party resellers or other distributors. Our direct sales force may subject us to higher fixed costs than those of any competitors that market their products through independent third parties, due to the costs associated with employee benefits, training, and managing sales personnel. As a result, we could be at a competitive disadvantage. Additionally, these fixed costs may slow our ability to reduce costs in the face of a sudden decline in demand for our programs,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decline in the prevalence of employer-sponsored healthcare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derive a large portion of our revenue from our arrangements with customers that purchase healthcare for their employees (via insurance or self-funded benefit plans), either through direct contracts with us or through our relationships with our channel partners, including health plans, PBMs, and other resellers. These customers provide benefits for all or a portion of their employees who, in turn, may become eligible members. A large part of the demand for our programs among customers depends on the need of these employers to manage the costs of healthcare services that they pay on behalf of their employees, including in many cases the costs of GLP-1s. Various factors, including changes in the healthcare insurance market or in government regulation of the healthcare or pharmaceutical industries, could cause a decline in employer sponsorship of healthcare or medications, which could adversely affect the market for our programs and negatively affect our business and results of operations. In some cases, employers may choose to allow their employees to rely entirely on discounted self-pay options from major manufacturers or through government initiatives for medications like GLP-1s. Separately, some experts have predicted that future healthcare reform will encourage employer-sponsored health insurance to become significantly less prevalent as employees migrate to obtaining their own insurance over state-sponsored insurance marketplaces. Other changes or developments in U.S. health insurance markets, including efforts to create a single-payer or government-run health insurance program, could also have a material adverse effect on our business, financial condition, results of operations, and prospects. If any of these changes were to occur, there is no guarantee that we would be able to compensate for the loss in revenue derived from customers by increasing member acquisition through other channels,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sales and implementation cycle can be long and unpredictable and requires considerable time and expense. As a result, our sales and revenue are difficult to predict and may vary substantially from period to period, which may cause our results of operations to fluctuate significantly.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timing of our sales and related revenue recognition is difficult to predict because of the length and unpredictability of our sales cycle, particularly with respect to large organizations and government entities. The sales cycle for our programs from initial contact with a potential customer or channel partner to member enrollment launch varies widely, ranging in some cases to over a year. Some of our customers and channel partners, especially in the case of large organizations and government entities, undertake a significant and prolonged evaluation process, including to determine whether our programs meet their unique healthcare needs, which frequently involves evaluation of not only our programs but also other available solutions, which results in extended sales cycles. Our sales efforts involve educating our customers and channel partners about the ease of use, technical capabilities, and potential benefits of our programs. During the sales cycle, we expend significant time and money on sales and marketing activities, which lowers our operating margins, particularly if no sale occurs. For example, there may be unexpected delays in the internal procurement processes of our customers and channel partners, particularly for some larger organizations and government entities for which our programs represent a small percentage of their total procurement activity. There are many other customer-specific factors that contribute to the timing of purchases and resulting timing of our revenue recognition, including the strategic importance of a particular project to a customer or channel partner, budgetary constraints, funding authorization, and changes in their personnel. In addition, the significance and timing of our program enhancements and the introduction of new products or solutions by our competitors may also affect purchases. Even if a customer or channel partner decides to purchase our programs, there are many factors affecting the timing of our recognition of revenue, which makes our revenue difficult to forecast. For example, once a customer or channel partner enters into an agreement with us, we work with them to identify the eligible population and then launch an enrollment process. Time from signing to launch typically takes an average of approximately three months and can take significantly longer for complex channel partners. Our channel partners resell our programs to their end customers, and there can be no assurance that any newly signed channel partner relationship will result in significant additional revenue near-term or at all. As part of the enrollment process, we incur significant expense explaining the benefits of our programs again to potential members to encourage them to enroll. We do not receive any payment from our customers or channel partners until members enroll and begin using our programs, which could be months following signing an agreement for our programs. Because there can be a significant delay before we generate revenue following the execution or announcement of a new contract with a customer and - in particular - with channel partners, it can be difficult to predict whether a contract will generate significant revenue and on what timeline.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Moreover, our contracts with customers and channel partners generally may provide that some fees are subject to repayment if certain clinical outcomes or other performance criteria are not met. For all of these reasons, it is difficult to predict whether a sale will be completed, the particular period in which a sale will be completed, the period in which revenue from a sale will be recognized, or the amount of revenue that we will ultimately recognize.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It is possible that in the future we may experience even longer sales cycles, more complex customer and channel partner needs, higher upfront sales costs, and less predictability in completing some of our sales as we continue to expand our direct sales force and channel partner relationships, expand into new territories, and market additional programs to potential customers and channel partners. If our sales cycle lengthens or our substantial upfront sales and implementation investments do not result in sufficient sales to justify our investments, our revenue could be lower than expected, and it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failure to offer high-quality support for our customers, channel partners, and members may adversely affect our relationships with our existing and prospective customers, channel partners, and members and, in turn,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customers and channel partners, in implementing our programs, and our members, in using our programs, depend on our support teams to resolve issues in a timely manner. We may be unable to respond quickly enough to accommodate short-term increases in demand for support. We also may be unable to modify the nature, scope, and delivery of our programs or support for customers, channel partners, and members to compete with changes in solutions provided by our competitors. Increased demand for support could increase costs and adversely affect our financial condition, results of operations, and prospects. Our sales are highly dependent on our reputation and on positive recommendations from our existing customers, channel partners, and members. Any failure to maintain high-quality support, or a market perception that we do not maintain high-quality customer or member support, could adversely affect our reputation and our ability to sell our programs and, in turn,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develop widespread brand awareness cost-effectively or are subject to widespread negative media coverage, our business may suffer.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developing and maintaining widespread awareness of our brand in a cost-effective manner is critical to achieving widespread adoption of our programs and attracting new customers, channel partners, and members. Our brand promotion activities may not generate awareness among customers, channel partners, or members or increase revenue, and even if they do, any increase in revenue may not offset the expenses we incur in building our brand. If we fail to successfully promote and maintain our brand, or incur substantial expenses in doing so, we may fail to attract or retain customers, channel partners, or members necessary to realize a sufficient return on our brand-building efforts or to achieve the widespread brand awareness that is critical for broad adoption of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unfavorable publicity regarding us or our management, our business, our programs, our peer reviewed publications or studies, the healthcare industry generally and/or virtual care providers specifically, litigation or regulatory activity, or our data privacy, cybersecurity, AI, safety, or other business practices, or those of our business partners or other participants in our industry, could materially and adversely affect our reputation. For example, news media outlets may from time to time provide negative coverage regarding virtual care, including with respect to the effectiveness of virtual care programs. If public perception is influenced by claims that virtual care programs are not effective for treating chronic conditions, whether related to our programs or those of our competitors, our programs may not be accepted by potential customers, channel partners, or members. Moreover, negative publicity regarding the virtual care industry generally, or adjacent industries like those of PBMs or pharmaceutical companies, may result in increased regulation and legislative review of industry practices that further increase the costs of doing business. Any negative media coverage or public perceptions about us, our industry, or our business partners, regardless of the accuracy of such reporting or perceptions, may have an adverse impact on our business and reputation, as well as have an adverse effect on our ability to attract and retain customers, channel partners, members, or employees, and result in decreased revenue,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markets in which we operate are characterized by rapid technological change, frequent new product and service introductions and enhancements, changing demands from customers and channel partners, updates to clinical guidelines and best practices, and evolving industry standards. The introduction of new drugs, changes in clinical guidelines or healthcare benefits, or the evolution of products and services embodying new technologies can quickly make existing products and services obsolete and unmarketable. In particular, the rapid pace of innovation in AI and machine learning can lead to the development of new, improved, or more cost-effective solutions that could render our programs and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less competitive or obsolete. Additionally, changes in laws and regulations could impact the usefulness of our programs and could necessitate changes or modifications to our programs to accommodate such changes.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invest substantial resources in researching and developing new programs and enhancing our programs and platform by incorporating additional features, improving functionality, and adding other improvements to meet market demands and our members’ evolving needs. The success of any enhancements or improvements to our platform, programs, or any new programs depends on several factors, including timely completion, competitive pricing, adequate quality testing, integration with new and existing technologies in our programs platform and third-party partners’ technologies, clinical results, cost effectiveness, and overall market acceptance. Our development of programs also depends on rights or interests in certain intellectual property, which we or third parties on which we rely may own or license. We may not succeed in developing, marketing, and delivering on a timely and cost-effective basis enhancements or improvements to our platform, programs, or any new programs that respond to continued changes in market demands or new requirements from customers or channel partners, and any enhancements or improvements to our platform, programs, or any new programs may not achieve market acceptance or may otherwise be negatively impacted by third-party actions that are outside of our control. For example, we have developed GLP-1 Care Tracks to support members who are engaged in one of our cardiometabolic programs to enable their success before, during, and after GLP-1 therapy, and we recently announced the capability to prescribe GLP-1 therapies and other AOMs as an extension of those offerings. The GLP-1 therapeutic space is new and rapidly evolving, and actions by employers, health plans, PBMs, pharmaceutical companies, and other third parties. including federal, state, or local governments, could negatively impact the adoption of our GLP-1 Care Tracks and prescribing offerings. For example, if pharmaceutical companies restrict cost rebates or other incentives for GLP-1s for employers who place conditions on the use of GLP-1s (such as participation in our program), market acceptance of our GLP-1 Care Tracks and prescribing offerings could be materially and adversely affected. Conversely, certain health plans, PBMs, employers, or other customers or channel partners may require that members enroll in, and engage with, one of our GLP-1 Care Tracks and/or obtain prescriptions through our prescribing offerings as a condition of receiving GLP-1 medications. When health plans, PBMs, employers, or other customers or channel partners require that members enroll in, and engage with, one of our GLP-1 Care Tracks and/or obtain prescriptions through our prescribing offerings as a condition of receiving GLP-1 prescriptions, we may provide data reporting that those customers and channel partners use in their review or adjudication of prescription requests and/or prescriptions necessary for obtaining the medications. If our data reporting or prescribing systems or processes are delayed, disrupted, or otherwise fail to work as intended, the prescription processes of our customers and channel partners may be negatively affected, which may result in delayed prescriptions or medications, which in turn could cause member harm or materially and adversely impact our relationships with customers and channel partners. Although, as of December 31, 2025, FDA-approved labels guided that GLP-1 therapies prescribed in adults for obesity or chronic weight management should be prescribed concurrently with a behavioral and lifestyle treatment plan, members could react negatively to these requirements. Although these conditions are not imposed by Omada directly, members could nevertheless attribute these requirements to us and develop a negative perception of us or our programs and our business, which could harm our brand and reputation. Moreover, if the use of GLP-1 therapy for weight loss receives negative publicity and/or one or more GLP-1s are determined to be harmful, the use of GLP-1s for weight loss could decline, which would reduce demand for our GLP-1 Care Tracks and, in turn, our business, financial condition, results of operations, and prospects may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developing our platform and programs and acquiring new technologies is complex, the timetable for the release of new programs and enhancements to existing programs and our platform is difficult to predict, and we may not offer new programs and updates to existing programs and our platform as rapidly as our customers or channel partners require or expect. Any new programs or updates to our platform that we develop or acquire may not be introduced in a timely or cost-effective manner, may contain errors or defects, or may not achieve the broad market acceptance necessary to generate sufficient revenue. Moreover, even if we introduce new programs, we may experience a decline in revenue of our existing programs that is not offset by revenue from the new programs. For example, customers and channel partners may delay making purchases of new programs to permit them to make a more thorough evaluation of these programs or until industry and marketplace reviews become widely available. Some customers or channel partners may hesitate to migrate to a new platform or program due to concerns regarding the performance of the new platform or program. This could result in a temporary or permanent revenue shortfall and materially and adversely affect our business, financial condition, results of operations, and prospects.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Public opinion and scrutiny of treatments for obesity and overweight may impact public perception of our company and offerings or may adversely affect our ability to conduct our business and our business plans.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Public perception may be influenced by claims, such as claims that products prescribed in connection with our programs are unsafe, unethical, or immoral, and consequently, our approach may not gain the acceptance of the public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medical community. Negative public reaction to treatments for obesity and overweight in general could result in greater government regulation and stricter labeling requirements of products to treat these chronic conditions, including products prescribed through our offerings. For example, severe adverse events observed with GLP-1 receptor agonists include, but are not limited to, acute pancreatitis, acute gallbladder disease, acute kidney injury, and severe gastrointestinal adverse reactions. Such side effects associated with GLP-1 receptor or GLP-1/GIP receptor targeting treatments may negatively impact public perception of us or products prescribed through our offerings. Adverse events associated with products prescribed through our offerings, even if not ultimately attributable to those prescribing activities, and the resulting publicity could result in increased governmental regulation and unfavorable public perception. More restrictive government regulations or negative public opinion could have an adverse effect on our business, financial condition, results of operations, and prospects.</w:t>
      </w:r>
    </w:p>
    <w:p>
      <w:pPr>
        <w:pStyle w:val="TextBody"/>
        <w:bidi w:val="0"/>
        <w:spacing w:before="0" w:after="0"/>
        <w:ind w:left="0" w:right="0" w:firstLine="45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To the extent we expand internationally we will face additional business, political, regulatory, operational, financial, and economic risks, any of which could increase our costs, hinder our growth, and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Historically, substantially all of our sales have been to customers and channel partners in the U.S. Expanding our business to attract customers, channel partners, and members in countries other than the U.S. in the future may be an element of our long-term business strategy and, to the extent we enter into international markets in the future, there are significant costs and risks inherent in conducting business in international markets. In addition, expansion into foreign markets would impose additional burdens on our executive and administrative personnel, finance, and legal teams, research and marketing teams, and general managerial resources. If we expand, or attempt to expand, into foreign markets, we will be subject to new business and regulatory risks,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multiple, conflicting, and changing laws and regulations such as tax laws, privacy, data protection, and AI-related laws and regulations, export and import restrictions, employment laws, regulatory requirements, and other governmental approvals, permits, and licenses, which may be more difficult to comply with than U.S. laws and regulations;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obtaining regulatory approvals or clearances where required for the sale of our programs and the delivery of connected devices provided in connection with our programs in various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increased management, infrastructure, and legal compliance costs associated with having customers, channel partners, and members in multiple jurisdictions;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to maintain data and the processing of that data on servers located within the U.S. or in such other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protecting and enforcing our intellectual property rights;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complexities associated with managing multiple payer reimbursement regimes, including government payers;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logistics and regulations associated with shipping our wireless scales, blood pressure monitors, blood glucose monitors, and other connected devices and supplies;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competition from companies with significant market share in international markets and with a better understanding of user preferences in such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financial risks, such as longer payment cycles, difficulty collecting accounts receivable, the effect of local and regional financial pressures on demand and payment for our programs, and exposure to foreign currency exchange rate fluctuations;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disasters, political and economic instability, including wars, terrorism, political unrest, public health threats or outbreaks of disease (including a pandemic similar to the COVID-19 pandemic), boycotts, curtailment of trade, and other market restrictions;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and compliance risks that relate to maintaining accurate information and control over activities subject to regulation under the Foreign Corrupt Practices Act (the “FCPA”).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continue to expand our business and to attract talented employees, customers, channel partners, and members in various international markets will require considerable management attention and resources and is subject to the challenges of supporting a rapidly growing business in an environment of multiple languages, cultures, customs, legal systems, alternative dispute resolution systems, regulatory systems, and commercial infrastructures. We have limited experience with regulatory environments and market practices internationally, and we may not be able to penetrate or successfully operate in new markets. We may also encounter difficulty expanding into international markets because of limited brand recognition in certain parts of the world, leading to delayed acceptance of our programs by customers and channel partners in these international markets. If we are unable to expand internationally and manage the complexity of international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unable to successfully execute on our growth initiatives, business strategies, or operating plans.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continually executing on growth initiatives, strategies, and operating plans designed to enhance our business and enhance the efficacy of our programs, which may include expanding our programs to address additional chronic conditions.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including delays in the anticipated timing of activities related to such growth initiatives, strategies, and operating plans, increased difficulty and cost in implementing these efforts, including difficulties in complying with changing regulatory requirements, and the incurrence of other unexpected costs associated with operating our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results of operations, and prospects may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licensed physical therapists who provide services to our members are characterized as employees, our business, financial condition, and results of operations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agreements with a professional corporation, Physera Physical Therapy Group, PC (“PPTG”), which enters into contracts with licensed physical therapists pursuant to which they render professional services to our members. PPTG typically engages most of these physical therapists as independent contractors, not employees.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these physical therapists are properly characterized as independent contractors, tax or other regulatory authorities may in the future challenge our characterization of these relationships. If such regulatory authorities or state, federal, or foreign courts were to determine that these providers or experts are employees and not independent contractors, PPTG would be required to withhold income taxes, to withhold and pay social security, Medicare, and similar taxes and to pay unemployment and other related payroll taxes. PPTG would also be liable for unpaid past taxes and subject to penalties and could also potentially face claims for overtime or benefits. The costs of defending, settling, or resolving any claims relating to the independent contractor status of the physical therapists could be material. Further, any such reclassification could force us to restructure our relationship with PPTG, could force PPTG to modify its relationships with physical therapists, and could add complexity to our business model. As a result, any determination that these physical therapists are employees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Cybersecurity, Information Systems, and Intellectual Property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collect and maintain information in digital form that is necessary to conduct our business, and we are increasingly dependent on IT systems and infrastructure to operate our business, including our member-facing mobile and web-based applications, any customer-facing aspects of our platform, and the systems we use for our own operations. In the ordinary course of our business, we collect, store, and transmit large amounts of confidential information, including intellectual property, proprietary business information, and personal information (including PHI) of our affiliated professional entities, customers, channel partners, members, employees (including with respect to our self-insured ERISA plans), consultants, contractors, third-party payers, business partners, and others. We have also outsourced elements of our IT systems and infrastructure, and as a result, a number of third-party service providers and vendors have access to our confidential information, the confidential information of customers and channel partners, and/or sensitive or personal information of covered individuals and members. We cannot conduct audits or formal evaluations of all aspects of all of our third-party service providers’ and vendors’ IT systems, and even where we do conduct audits or evaluations, we cannot be sure that our audits or evaluations will be comprehensive or that third-party service providers and vendors have sufficient measures in place to ensure the confidentiality, integrity, and availability of their IT systems and confidential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face evolving cybersecurity risks that threaten the confidentiality, integrity, and availability of our IT systems and those of our affiliated professional entities, third-party service providers, vendors, business partners, and other contractors or consultants, and confidential information and data stored therein, including from diverse threat actors and attack vectors, including attack, damage, and interruption from computer viruses and malware (e.g., ransomware), natural disasters, terrorism, war, telecommunication, network, and electrical failures, hacking, cyberattacks, phishing attacks, and other social engineering schemes, malicious code, employee theft or misuse, human or technological error, fraud, denial or degradation of service attacks, sophisticated nation-state and nation-state-supported actors, or unauthorized access or use by persons inside our organization, or persons with access to systems inside our organization. These risks may be exacerbated in the remote work environment. Moreover, the risk of a cybersecurity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to the recent Russia-Ukraine conflict, there have been publicized threats to increase hacking activity against the critical infrastructure of any nation or organization that is supportive of Ukraine. Cyberattacks are expected to continue to accelerate on a global basis in frequency and magnitude as threat actors are becoming increasingly sophisticated in using techniques and tools—including AI—that circumvent security controls, evade detection, and remove or obfuscate forensic evidence.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costs to us to investigate and mitigate information security incidents including bugs, viruses, worms, malicious software programs, inadvertent exposure of confidential information or security incidents arising from human or technological error, and other causes of security vulnerabilities could be significant, and while we have implemented certain cybersecurity measures designed to protect the confidentiality, integrity, and availability of confidential information and our IT systems, including from system failure, accident, and security breach, there can be no assurance that our cybersecurity risk management program and processes will be fully implemented, complied with, or effective. The techniques used to obtain unauthorized access to, or to sabotage, systems change frequently and often are not recognized until launched against a target, and we may be unable to anticipate these techniques or implement adequate preventative measures. Even if identified, we may be unable to adequately investigate or remediate incidents or breaches. We may also experience security breaches that may remain undetected for an extended period. Any security incident or other adverse impact to the availability, integrity, or confidentiality of our information systems or confidential information could result in unexpected interruptions, delays, disruption of our programs and our business operations, cessation of service, negative publicity and reputational impacts, significant financial liability to our members, customers, channel partners, regulators, or others, loss of customers or channel partners, loss of members, and other harm to our business and our competitive position, whether due to a loss of our trade secrets or other proprietary information or other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certain of our third-party service providers and vendors are from time to time subject to cyberattacks and security incidents. For example, Delta Dental of California and affiliates, a dental insurance carrier for employees enrolled in our self-insured ERISA plan, was impacted by a security incident in May 2023 resulting from a vulnerability in a third-party file transfer software, MOVEit, that compromised certain of our employees’ personal information, but did not materially impact our business or operations. Further, in February 2024, Change Healthcare, an insurance claims processing vendor, experienced a cyberattack forcing the shutdown of its claims processing systems and potentially exposing sensitive data (the “Change Healthcare Incident”). Based on information shared to date, we do not believe the Change Healthcare Incident has materially affected our business, operations, or data. We do, however, rely on similar service providers and clearinghouses to process eligibility for certain of our members and their claims. Any cybersecurity incident, outage, or interruption impacting the systems of such service providers and clearinghouses could result in delays in our ability to process insurance claims, collect payments, and confirm insurance eligibility for members and require us to turn to alternative channels for such services, which may not be available on commercially reasonable terms, or be able to be accessed or implemented in a timely manner. While we do not believe that we have experienced any significant system failure, accident, or security breach to date, if we, our affiliated professional entities, service providers, vendors, business partners, other contractors, or consultants were to experience a significant cybersecurity breach of our or their IT systems or data or other significant cybersecurity incident, the costs associated with the incident response, investigation, system restoration or remediation, notification to customers and channel partners, regulators, and others, and future compliance costs could be material. In addition, our remediation efforts, or those of our vendors or service providers, may not be successful. Any cybersecurity incident affecting us, our affiliated professional entities, service providers, vendors, business partners, other contractors, consultants, or our industry, whether real or perceived, could harm our reputation, erode confidence in the effectiveness of our security measures, and lead to regulatory scrutiny. We could incur or be exposed to potential liability, including class action and other litigation exposure. There can be no assurance that provisions typically included in our terms with members or in our agreements with our customers and channel partners that attempt to limit exposure to legal claims would be enforceable or adequate or would protect us from liabilities or damages. Even if a claim is not successful, any claim brought against us would likely be time-consuming and costly to defend and could seriously damage our reputation, brand, or business. Any cybersecurity incident affecting us could also, subject us to regulatory action, investigation, or enforcement action, any of which could potentially result in penalties, fines, and significant legal liability. In addition, our competitive position could be harmed, and the further development and commercialization of our programs could be delayed. Any or all of the foregoing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contractual and legal obligations to notify relevant stakeholders of certain cybersecurity incidents and data breaches. Most jurisdictions have enacted laws requiring companies to notify individuals, regulatory authorities, and others (including, in certain cases, the media) of cybersecurity incidents or data breaches involving certain types or quantities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contain and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Such mandatory disclosures are costly, could lead to negative publicity, may cause our customers, channel partners, or members to lose confidence in the effectiveness of our security measures, and require us to expend significant capital and other resources to respond to, or alleviate problems caused by, the actual or perceived cybersecurity incident or data breach and otherwise comply with the multitude of foreign, federal, state, and local laws and regulations relating to the unauthorized access to, or use or disclosure of, personal information (including PHI). Because we utilize third-party vendors and service providers, such as AWS and other cloud services that support our member-facing mobile and web-based applications, customer-facing aspects of our platform, and our own internal operations, successful cyberattacks that disrupt or result in unauthorized access to third-party IT systems can materially impact our operations and financial results. Such third parties, and the services they provide, which may be outside of our direct control, are subject to the same risk of experiencing, and have experienced, outages, other failures, and security breaches described above. Further, if we or our third-party vendors or service providers fail to detect or remediate in a timely manner a cybersecurity incident or an incident that otherwise affects a large amount of data of one or more customers or channel partners, or if we suffer an incident that impacts our ability to operate our programs, we may suffer damage to our reputation and our brand, and our business, financial condition, results of operations, and prospects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although we maintain insurance coverage, our insurance coverage may not cover all or any costs and liabilities incurred in relation to a cybersecurity incident or data breach, including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the number of customers, channel partners, and members that we serve, and process, store, and transmit increasingly large amounts of proprietary, sensitive and other confidential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proprietary technology may not operate properly, which could damage our reputation, give rise to claims against us, or divert application of our resources from other purposes, any of which could materially and adversely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Proprietary software development is time-consuming, expensive, and complex, and may involve unforeseen difficulties. Technical obstacles, problems, or design defects may prevent our proprietary technology from operating properly. If our platform or programs do not function reliably, malfunction, or fail to achieve the expectations of our customers, channel partners, or members in terms of performance, our customers, channel partners, members, or other business partners could assert liability claims against us, our customers, channel partners, and other business partners could attempt to cancel their contracts with us, or our members could disenroll from our programs. There can be no assurance that provisions typically included in our agreements with customers, channel partners, or other business partners or in our user agreements with members that attempt to limit our exposure to claims would be enforceable or adequate or would otherwise protect us from liabilities or damages with respect to any particular claim. Even if unsuccessful, a claim brought against us by any of our customers, channel partners, members, or other business partners would likely be time-consuming and costly to defend and could seriously damage our reputation and brand and impair our ability to attract or maintain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software underlying our platform is highly complex and may contain undetected errors or vulnerabilities, some of which may only be discovered after the code has been used by our members or other third parties. Any real or perceived errors, failures, bugs, malicious code, or other vulnerabilities discovered in our code or in open source or commercial software that may be integrated into our (or our vendors’ and service providers’) software could result in negative publicity and damage to our reputation, loss of customers and channel partners, loss of members, loss of, or delay in, market acceptance of our programs, loss of competitive position, loss of revenue, or liability for member harm, damages, overpayments, and/or underpayments, any of which could harm our member enrollment rates or cause us to lose members. Similarly, any real or perceived errors, failures, design flaws, or defects in the connected devices or other supplies provided in connection with our programs could have similar negative results. In such an event, we may be required or may choose to divert resources from other purposes or expend additional resources in order to help correct the problem. Such efforts could be costly, or ultimately unsuccessful. Even if we are successful at remediating any issues, we may experience damage to our reputation and brand, and our business, financial condition, results of operations, and prospects could be materially and adversely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depends upon the interoperability of our programs and related connected devices across a number of devices, operating systems, and third-party applications that we do not control.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platform relies in part on interoperability with a range of diverse devices, operating systems, and third-party applications. We are dependent on the accessibility of our programs and related connected devices across these third-party operating systems and applications that we do not control. Third-party services and products are constantly evolving, and we may not be able to modify our platform to assure its compatibility with that of other third parties following development changes. Should the interoperability of our platform, programs, and related connected devices across devices, operating systems, and third-party applications decrease, or if our members are unable to easily and seamlessly access our applications or information stored in our platform, our business, financial condition, results of operations, and prospects could be materially and adversely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depends on continued and unimpeded access to Internet or mobile connections for our programs and the related connected devices. If we or our members experience disruptions in service or if Internet or mobile service providers are able to block, degrade, or charge for access to our programs or the functionality of connected devices provided in connection with our programs, we could incur additional expenses and the loss of members.</w:t>
      </w:r>
    </w:p>
    <w:p>
      <w:pPr>
        <w:pStyle w:val="TextBody"/>
        <w:bidi w:val="0"/>
        <w:spacing w:lineRule="auto" w:line="288" w:before="0" w:after="240"/>
        <w:ind w:left="0" w:right="0" w:firstLine="450"/>
        <w:jc w:val="both"/>
        <w:rPr/>
      </w:pPr>
      <w:r>
        <w:rPr>
          <w:rFonts w:ascii="Times New Roman;serif" w:hAnsi="Times New Roman;serif"/>
          <w:b w:val="false"/>
          <w:color w:val="000000"/>
          <w:sz w:val="20"/>
        </w:rPr>
        <w:t>We depend on the ability of our members to access the Internet and/or mobile connections. Currently, this access is provided by companies that have significant market power in the mobile, broadband, and Internet access marketplace, including incumbent telephone companies, cable companies, mobile communications companies, government-owned service providers, device manufacturers, and operating system providers, any of whom could take actions that restrict, degrade, disrupt, or increase the cost of member access to our programs and the functionality of connected devices that we provide in connection with our programs, which would, in turn, negatively impact our business. The adoption of any laws or regulations that adversely affect the growth, popularity, or use of the Internet or mobile connections, including laws or practices limiting Internet neutrality, could decrease the demand for, or the usage of, our programs, increase our cost of doing business, and adversely affect our results of operations. See “</w:t>
      </w:r>
      <w:r>
        <w:rPr>
          <w:color w:val="000000"/>
        </w:rPr>
        <w:t>—</w:t>
      </w:r>
      <w:r>
        <w:rPr>
          <w:rFonts w:ascii="Times New Roman;serif" w:hAnsi="Times New Roman;serif"/>
          <w:b w:val="false"/>
          <w:i/>
          <w:color w:val="000000"/>
          <w:sz w:val="20"/>
        </w:rPr>
        <w:t>Changes in the regulation of the Internet could adversely affect our business</w:t>
      </w:r>
      <w:r>
        <w:rPr>
          <w:rFonts w:ascii="Times New Roman;serif" w:hAnsi="Times New Roman;serif"/>
          <w:b w:val="false"/>
          <w:color w:val="000000"/>
          <w:sz w:val="20"/>
        </w:rPr>
        <w:t>.” We also rely on other companies to maintain reliable network systems that provide adequate speed, data capacity, and security to us and our members. As Internet and mobile device usage continue to experience growth in the number of users, frequency of use, and amount of data transmitted, the infrastructure that we and our members rely on may be unable to support the demands placed upon it. The failure of the infrastructure that we or our members rely on, even for a short period of time, could undermine our operations and harm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success depends in part on our proprietary technology, and if we are unable to obtain, maintain, or successfully enforce our intellectual property rights, the commercial value of our programs will be adversely affected, and our competitive position,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and ability to compete may depend in part on our ability to maintain and enforce existing intellectual property rights and to obtain, maintain, and enforce further intellectual property protection for our programs, both in the U.S. and in other countries. We attempt to protect our intellectual property rights through a combination of patent, trademark, copyright, and trade secret laws, as well as licensing agreements and confidentiality agreements and procedures and contractual protections with our employees, affiliates, customers, channel partners, and other business partners. Our inability to obtain, maintain, protect, or enforce our intellectual property rights could result in our competitors offering similar products, which could harm our competitive position.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in limited part on our portfolio of issued patents and pending patent applications in the U.S. to protect our intellectual property and our competitive position. However, the patent positions of technology and virtual care companies, including our patent position, may involve complex legal and factual questions, and, therefore, the scope, validity, and enforceability of any patent claims that we may obtain cannot be predicted with certainty. Accordingly, we cannot provide any assurances that any of our issued patents have included, or that any of our currently pending or future patent applications that mature into issued patents will include, claims with a scope that meaningfully protects our programs. Our pending and future patent applications may not result in the issuance of patents or, if issued, may not issue in a form that will be advantageous to us. Additionally, the issuance of a patent is not conclusive as to its inventorship, scope, validity, or enforceability, and any patents issued to us may be challenged, narrowed, invalidated, held unenforceable, or circumvented, or may not be sufficiently broad to prevent third parties from producing competing programs similar in design to our programs. Such proceedings could include supplemental examination or contested post-grant proceedings such as review, reexamination, interference, or derivation proceedings challenging our patent rights. Further, patent protection must ultimately be sought on a country-by-country basis, which is an expensive and time-consuming process with uncertain outcomes and we have not sought patent protection outside of the U.S. We may fail to file a patent application in a foreign jurisdiction where patent protection is ultimately desirable, and we may be precluded from doing so at a later date. For so long as we do not have patent protection outside of the U.S., our ability to protect uses of our technology by competitors in foreign jurisdictions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either patent laws or in interpretations of patent laws may diminish the value of our current or future intellectual property or narrow the scope of our patent protection, which in turn could diminish the commercial value of our programs. There can be no assurance that any of our patents, any patents licensed to us, or any patents which we may be issued in the future will provide us with a competitive advantage or afford us protection against infringement by others, or that the patents will not be successfully challenged or circumvented by third parties, including our competitors. Further, there can be no assurance that we will have adequate resources to enforce our patents. Any of the foregoing could have a material adverse effect on our competitive position,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also have agreements with our employees, consultants, and other third parties who may be involved in the conception or development of intellectual property that impose confidentiality obligations on them and obligate them to assign their inventions to us; however, these agreements may not be self-executing, not all relevant employees, consultants, or other third parties may enter into such agreements, or employees, consultants, or other third parties may breach or violate the terms of these agreements, and we may not have adequate remedies for any such breach or violation. Furthermore, individuals executing agreements with us may have preexisting or competing obligations to third parties, and thus an agreement with us may be ineffective in perfecting ownership of intellectual property developed by those individuals. Any of the foregoing could have a material adverse effect on our competitive position,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contractual measures, we protect the confidential nature of our proprietary information using commonly accepted physical and technological security measures. Such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intellectual property or confidential or proprietary information, such as our trade secrets, will be effective. Unauthorized parties may also attempt to copy or reverse engineer certain aspects of our programs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otherwise become known or be independently developed by others, including our competitors, in a manner that could prevent legal recourse by us. Further, the laws of some foreign countries do not protect intellectual property rights to the same extent as the laws of the U.S. Many companies have encountered significant problems in protecting and defending intellectual property rights in certain foreign jurisdictions, particularly with respect to trade secret rights. This could make it difficult for us to stop infringement or the misappropriation of our other intellectual property rights.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we may not be able to build name recognition in our markets of interest and our competitive position,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trademarks, trade names, and brand names to distinguish our programs from the programs of our competitors and have registered or applied to register many of these trademarks. There can be no assurance that our trademark applications will be approved. Third parties may also oppose our trademark applications or otherwise challenge our use of the trademarks, and our trademarks may be circumvented or declared generic. In the event that our trademarks are successfully challenged, we could be forced to rebrand our programs,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 Additionally, we entered into a co-existence agreement with a third party with respect to trademarks with the word “Omada” that, among other things, places certain restrictions on both the third party’s and our ability to register, and to challenge the third party’s registration of, trademarks with the word “Omada” in certain product and service classes, in order to mitigate any risk of confusion. Any disputes concerning this co-existence agreement may cause us to incur significant litigation costs, which could have a material adverse effect on our competitive position, business, financial condition, results of operations, and prospects. In addition, third parties may file for registration of trademarks similar or identical to our trademarks, thereby impeding our ability to build brand identity and possibly leading to market confusion. Moreover, third parties may file first for our trademarks in certain countries. If they succeed in registering or developing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common law rights in such trademarks, and if we are not successful in challenging such third-party rights, we may not be able to use these trademarks to develop brand recognition in those jurisdictions.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license third parties to use our trademarks. In an effort to preserve our trademark rights, we include license terms in our agreements with these third parties, which govern the use of our trademarks and require our licensees to abide by certain use restrictions. Although we make efforts to monitor the use of our trademarks by our licensees, there can be no assurance that these efforts will be sufficient to ensure that our licensees abide by the terms of their licenses. In the event that our licensees fail to do so, our trademark rights could be diluted. Any of the foregoing could have a material adverse effect on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intellectual property rights, which could be expensive, time consuming, and unsuccessful.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Third parties, including our competitors, could be infringing, misappropriating, or otherwise violating our intellectual property rights. We do not regularly conduct monitoring for unauthorized use of our intellectual property at this time. From time to time, we seek to analyze our competitors’ programs or seek to enforce our rights against potential infringement, misappropriation, or violation of our intellectual property rights. However, the steps we take to protect our intellectual property rights may not be adequate to enforce our rights against such infringement, misappropriation, or violation. We may not be able to detect unauthorized use of, or take appropriate steps to enforce, our intellectual property rights. Any inability to meaningfully enforce our intellectual property rights could harm our ability to compete and reduce demand for our programs.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From time to time, we may be involved in lawsuits to protect or enforce our intellectual property rights. An adverse result in any litigation proceeding could harm our business. In any lawsuit that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program, the defendant could counterclaim that such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Third parties also may raise similar claims before administrative bodies in the U.S. or abroad, even outside the context of litigation. Mechanisms for such challenges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 Such proceedings could result in the revocation of, cancellation of, or amendment to our patents in such a way that they no longer cover our programs, or any future programs that we may develop.</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programs. Such a loss of patent protection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infringe, misappropriate, or otherwise violate the intellectual property rights of third parties or are subject to an intellectual property infringement or misappropriation claim, our ability to grow our business may be severely limited, and our business could be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the subject of threatened or actual patent or other litigation. Patent and other types of intellectual property litigation can involve complex factual and legal questions, and their outcome is uncertain. We cannot be certain or guarantee that we do not infringe existing patents or that we will not infringe patents that may be granted in the future. Our programs may infringe, or third parties may claim that they infringe, intellectual property rights covered by patents or patent applications under which we do not hold licenses or other rights. Third parties may own or control these patents and patent applications in the U.S. and abroad. These third parties may bring claims against us that would cause us to incur substantial expenses and, if successfully asserted against us, could cause us to pay substantial damages. Further, if a patent infringement or other intellectual property-related lawsuit is brought against us, we could be forced to stop or delay sales of the program that is the subject of the suit. From time to time, we may receive letters from third parties drawing our attention to their patent rights. As the market for digital health solutions in the U.S. expands and more patents are issued, the risk increases that there may be patents issued to third parties that relate to our products and technology of which we are not aware or that we must challenge to continue our operations as currently contemplated. The defense and prosecution of intellectual property lawsuits could result in substantial expense to us and significant diversion of effort by our technical and management personnel. An adverse determination of any litigation or interference proceeding to which we may become a party could subject us to significant liabilities such as monetary damages, including treble damages and attorneys’ fees if we are found to have willfully infringed a patent or other intellectual property right. Further, we may be required to redesign the applicable technology in a non-infringing manner, which may not be commercially feasible. As a result of patent infringement claims, or in order to avoid potential claims, we may choose or be required to seek a license from the third party and be required to pay significant license fees, royalties or both. Licenses may not be available on commercially reasonable terms, or at all, in which event our business would be materially and adversely affected. Even if we were able to obtain a license, the rights may be nonexclusive, which could result in our competitors gaining access to the same intellectual property. Ultimately, if we are unable to obtain such licenses, we could be forced to cease some aspect of our business operations, which could harm our business significantly.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comply with our obligations under license or technology agreements with third parties, we may be required to pay damages, and we could lose license rights that are critical to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license certain intellectual property, including technologies, content, and software from third parties, that is important to our business, and in the future we may enter into additional agreements that provide us with licenses to valuable intellectual property, content, or technology. For example, certain of our customers and channel partners also provide us with limited rights to use their trademarks and trade names in conducting outreach campaigns directed at covered individuals. Disputes also may arise between us and our licensors regarding the intellectual property licensed to us under any license agreement, including disputes related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compliance with reporting, financial, or other obligations under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amounts of royalties or other payments due under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whether and the extent to which we infringe, misappropriate, or otherwise violate intellectual property rights of the licensor that are not subject to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right to sublicense applicable rights to third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right to transfer or assign the license;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ownership of intellectual property and know-how resulting from the joint creation or use of intellectual property by our licensors and us and our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prevail in such disputes or if we fail to comply with any of the obligations under our license agreements, we may lose any or all of our rights under such license agreements or be required to pay damages, and the licensor may have the right to terminate the license. Termination by the licensor of certain of our license agreements would cause us to lose valuable rights, and could prevent us from selling our programs and services or adversely impact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commercialize future programs and services. Our business may suffer if any current or future licenses terminate, if the licensors fail to abide by the terms of the license, if the licensors fail to enforce licensed patents against infringing third parties, if the licensed intellectual property is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software platform contains, and may in the future contain, open source software, which may pose particular risks to our proprietary software, products, and services in a manner that could have a material and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open source software in connection with our software platform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including requiring us to disclose our proprietary source code to the public. While we monitor our use of open source software and try to ensure that none is used in a manner that would require us to disclose our proprietary source code or that would otherwise breach the terms of an open source agreement, such a use could inadvertently occur, or could be claimed to have occurred, in part because open source license terms can be ambiguous.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superior to ours. Any of the foregoing could harm our competitive position, business, financial condition, results of operations, and prospects.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Governmental Regulation and Legal Matters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a highly regulated industry and changes in regulations or the implementation of existing regulations could affect our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programs and our business activities are subject to rigorous regulation in the jurisdictions in which we operate. In particular, these laws govern the delivery of healthcare, including regulations concerning health information privacy, scope of practice, licensure, the corporate practice of physical therapy, fraud and abuse, exclusion and debarment, anti-kickback obligations, false claims, patient referrals, fee splitting, regulation of devices, and other aspects of healthcare delivery, as well as requirements for coverage and reimbursement by private health insurance providers and government payers. Our business may be affected by changes in any such laws and regulations, as well as by changes to the conditions for coverage and member financial responsibility for certain types of healthcare, the way in which reimbursement is calculated, or the ability to obtain coverage. There are also numerous regulatory schemes, including with respect to certain data interoperability and information blocking requirements, that do not currently apply to our business; however, we could become subject to such regulatory schemes in the future as a result of regulatory changes.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regulations that cover, or that in the future could cover, our programs and our business can be burdensome and subject to change on short notice, exposing us to the risk of increased costs and business disruption, and regulatory requirements may affect or delay our ability to market our new programs. Regulatory authorities and legislators have been recently increasing their scrutiny of the healthcare industry, and there are ongoing regulatory efforts to reduce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costs that may intensify in the future. For example, the U.S. Congress recently considered legislative reforms to PBM fee structures, and the Trump Administration has signaled its intent to pursue drug pricing reform. New laws or regulations that negatively impact health plans, PBMs, or other customers or channel partners could materially and adversely affect our business, financial condition, results of operations, and prospects. Our business is also sensitive to any changes in tort and product liability laws.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there has been an increasing focus on data privacy and protection issues with the potential to affect our business. We and our affiliated professional entities are, or may become, subject to numerous federal, state, and foreign laws, requirements, and regulations governing the collection, transmission, use, processing, disclosure, storage, retention, security, and other processing of personal information, such as information that we may collect in connection with conducting our business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including costs related to organizational changes, modifying our data processing practices and policies, implementing additional protection technologies, training employees, and engaging consultants,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fines, public censure, claims by third parties, damage to our reputation, loss of goodwill, and loss of customers, channel partners, or members, any of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our affiliated professional entities collect and store confidential information, including PHI, personal information, intellectual property, and proprietary business information owned or controlled by ourselves or our customers, channel partners, members, covered individuals, third-party payers, business partners, and other parties. We also collect and store personal and sensitive information of our employees, consultants, and contractors. We manage and maintain our applications and data utilizing cloud-based data centers for personal information. We utilize external security and infrastructure vendors to manage parts of our data centers. As a healthcare provider and, at times, a business associate of our customers and channel partners, we and our affiliated professional entities must comply with HIPAA. We also must comply with HIPAA in regard to certain of our self-insured health benefits for our employees and their dependents. HIPAA establishes privacy and security standards that limit the use and disclosure of PHI and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and our affiliated professional entities must comply with HIPAA requirements, including the implementation of administrative, physical, and technical safeguards to ensure the confidentiality, integrity, and availability of individually identifiable health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imposes mandatory penalties for certain violations; however, a single breach incident can result in violations of multiple standards, which could result in significant fines. HIPAA also authorizes state attorneys general to file suit on behalf of their residents and enables courts to award damages, costs, and attorneys’ fees related to violations of HIPAA in connection with those suits.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prospects,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HIPAA further requires that individuals be notified in certain instances of unauthorized acquisition, access, use, or disclosure of their unsecured PHI. Covered entities must report breaches of unsecured PHI to affected individuals without unreasonable delay, not to exceed 60 days following discovery of the breach by a covered entity or its agents. Notification also must be made to the HHS Office for Civil Rights and, in certain circumstances involving large breaches, to the media. Business associates must report breaches of unsecured PHI to covered entities within 60 days of discovery of the breach by the business associate or its agents or such shorter period as may be provided for in contractual agreements. A non-permitted use or disclosure of PHI is presumed to be a breach under HIPAA unless the covered entity or business associate establishes that there is a low probability the information has been compromised consistent with requirements enumerated in HIPAA. Any obligations to send such notifications could severely damage our reputation and affect the confidence of our customers, channel partners, and members.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our affiliated professional entities, and our future customers, channel partners,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enacted in other states, reflecting a trend toward more stringent privacy legislation in the U.S. The enactment of such laws may have potentially conflicting requirements that would make compliance challenging.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the U.S. Federal Trade Commission (“FTC”) and many state attorneys general continue to enforce federal and state consumer protection laws against companies that mislead customers about HIPAA compliance, make deceptive statements about privacy and data sharing in privacy policies, fail to limit third-party use of PHI and certain other personal information, fail to implement policies to protect PHI and certain other personal information, and use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 There are also a number of legislative proposals in the U.S., at both the federal and state level,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send short message services (“SMS”) text messages to members and potential members. Federal or state regulatory authorities or private litigants may claim that the notices and disclosure we provide, form of consent we obtain, or our SMS texting practices are not adequate or violate applicable law. In addition, we must ensure that our SMS texting practices comply with regulations and agency guidance under the Telephone Consumer Protection Act (the “TCPA”), a federal statute that protects consumers from unwanted telephone calls, faxes, and text messages. While we strive to adhere to strict policies and procedures that comply with the TCPA, the Federal Communications Commission (“FCC”), as the agency that implements and enforces the TCPA, may disagree with our interpretation of the TCPA and subject us to penalties and other consequences for noncompliance. Determination by a court or regulatory agency that our SMS texting practices violate the TCPA could subject us to civil penalties and could require us to change some portions of our business. Even an unsuccessful challenge by members or regulatory authorities of our activities could result in adverse publicity and could require a costly response from and defense by us. Moreover, if wireless carriers or their trade associations, which issue guidelines for texting programs, determine that have violated their guidelines, our ability to engage in texting programs may be curtailed or revoked, which could impact our operations and cause us to incur costs related to implementing a workaround solution.</w:t>
      </w:r>
    </w:p>
    <w:p>
      <w:pPr>
        <w:pStyle w:val="TextBody"/>
        <w:bidi w:val="0"/>
        <w:spacing w:before="0" w:after="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and our affiliated professional entities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obligations with which we must comply. Any failure or perceived failure by us, our affiliated professional entities, or our employees, representatives, contractors, consultants, or other third parties to comply with such requirements or adequately address privacy and security concerns, even if unfounded, could result in additional cost and liability to us, damage to our reputation, negative publicity, members curtailing their use of, or ceasing to use, our programs and/or the loss of customers, channel partners, or covered individuals, loss of goodwill, significant costs for remediation, notification to individuals, and for measures to prevent future non-compliance, each which may materially and adversely affect our business, financial condition, results of operations, and prospects. Any losses, costs, or liabilities may not be covered by, or may exceed the coverage limits of, applicable insurance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our affiliated professional entities and certain of our third-party suppliers are subject to broadly applicable fraud and abuse and other healthcare laws and regulations. These laws may constrain the business or financial arrangements and relationships through which we, our affiliated professional entities, and certain of our third-party suppliers conduct our operations, including sales and marketing practices directed at potential customers and channel partners, benefit outreach practices directed at covered individuals, consumer incentives, and other promotional programs, and other business practices. Such laws include, without limitation: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persons or entities from knowingly and willfully soliciting, offering, receiving, or providing any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state Medicaid programs, and TRICARE. A person or entity does not need to have actual knowledge of the statute or specific intent to violate it in order to have committed a violation;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physician self-referral law, the Stark Law, which, subject to limited exceptions, prohibits physicians from referring Medicare or Medicaid patients to an entity for the provision of certain DHSs,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false claims laws, including the False Claims Act, which can be enforced through whistleblower actions,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federal Anti-Kickback Statute or Stark Law constitutes a false or fraudulent claim for purposes of the False Claims Act;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provision of the federal Social Security Act that imposes criminal penalties on healthcare providers who fail to disclose or refund known overpayments;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state law equivalents of each of the above federal laws, including state anti-kickback, self-referral, and false claims laws that apply more broadly to healthcare items or services paid by all payers, including self-pay patients and private insurers, that govern our interactions with consumers or restrict payments that may be made to healthcare providers and other potential referral sources;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Trade Commission Act and federal and state consumer protection, advertisement, and unfair competition laws, which broadly regulate marketplace activities and activities that potentially harm consumers;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pertaining to compliance program obligations and record retention, among others, applicable to our business as a first-tier or downstream entity providing certain services to Medicare Advantage organizations, Medicaid managed care plans, or other entities that administer government healthcare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applicable to our business at times in providing services to fulfill government contracts (typically as a subcontractor). In providing those services, we are required to comply with applicable government contract requirements such as the U.S. Federal Acquisition Regulation (the “FAR”) and agency regulations supplementing the FAR. Our failure to comply with these laws and regulations may expose us to reputational harm, criminal prosecution, suspension and debarment, breach of contract actions, and the False Claims Act, as well as other remedial measures.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financial arrangements with customers, channel partners and third-party suppliers, any lead generation agreements for acquiring customers or channel partners, and any outreach initiatives directed at covered individuals, do not comply with current or future statutes, regulations, agency guidance, or case law involving applicable fraud and abuse or other healthcare laws and regulations. If our or our affiliated professional entities’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including Medicare, state Medicaid programs, TRICARE, or similar programs in other countries or jurisdictions, disgorgement, imprisonment, contractual damages, reputational harm, diminished profits, and the curtailment or restructuring of our operations. We or our affiliated professional entities may also be contractually required to indemnify and hold harmless third parties, such as customers or channel partners, from the costs of any failure to comply with applicable law. Further, defending against any such actions can be costly and time-consuming and may require significant personnel resources. Even if we are successful in defending against any such actions that may be brought against us, our business may be impaired.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develop and offer certain software applications, some of which involve the use of AI technologies, to our members and coaches. The FDA may regulate medical or health-related software, including machine learning functionality and predictive algorithms, if such software falls within the definition of a “medical device” under the FDCA. Medical devices are subject to extensive and rigorous regulation by the FDA and by other federal, state, and local authorities.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 Therefore, we believe that our software applications are not currently regulated by the FDA as medical devices or otherwise subject to FDA’s current enforcement discretion policies applicable to software. However, there is a risk that the FDA could disagree with our determination if, for example, it is perceived that we are providing, or if we unintentionally provide, automated diagnoses or automated delivery of healthcare to our members. Additionally, the FDA could alter its enforcement discretion policies or our strategy for the use of AI and software could change. Any of the above may subject our software applications to more stringent medical device regulations.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FDA determines that any of our current or future software applications are regulated as medical devices and not otherwise subject to enforcement discretion, we would become subject to various requirements under the FDCA and the FDA’s implementing regulations. If this occurs, we may be required to cease marketing or to recall our applications until we obtain the requisite clearances or approvals, which would entail significant cost and could harm our reputation, business, financial condition, results of operations, and prospects. The process of seeking clearance or approval can be expensive and time-consuming, and there is no guarantee that we would be successful in obtaining the necessary approvals.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dependent on our relationships with affiliated professional entities, which we do not own, to provide physical therapy and certain medical services, and our business would be adversely affected if those relationships were disrupted or if our arrangements with such affiliated professional entities or our customers or channel partners are found to violate state laws prohibiting the corporate practice of licensed professions or fee splitting.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laws of many states, including states in which many of our customers and channel partners are located, prohibit us from exercising control over the medical judgments or decisions of physical therapists and certain medical professionals and from engaging in certain financial arrangements, such as splitting professional fees with such licensed professionals. These laws and their interpretations vary from state to state and are enforced by state courts and regulatory authorities, each with broad discretion, and are subject to change and to evolving interpretations by state boards of physical therapy and state attorneys general, among others. We enter into agreements with a professional corporation, PPTG, and other professional practices, which enter into contracts with licensed providers pursuant to which they render professional services. Our agreements include management services agreements with those professional practices pursuant to which the professional entity reserves exclusive control and responsibility for all aspects of the practice of physical therapy and the delivery of medical services. In addition, we enter into contracts with our customers and channel partners on behalf of these professional practices to deliver professional services in exchange for fees. In connection with the launch of our new prescribing offering, we anticipate contracting with third-party telehealth providers and potentially entering into new agreements with affiliated professional entities. Changes in, or subsequent interpretations of, the corporate practice of physical therapy or medicine, or fee-splitting prohibitions could circumscribe our business operations, and state officials who administer these laws or other third parties may successfully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PPTG and other professional entities to comply with these statutes, could eliminate customers and channel partners located in certain states from the market for our programs, which would have a material adverse effect on our business, financial condition, results of operations, and prospects. State corporate practice of physical therapy and medicine doctrines also often impose penalties on the licensed providers themselves for aiding the corporate practice of such learned profession, which could discourage providers from providing services needed for our programs. We do not own our affiliated professional entities, which are wholly owned by licensed healthcare professionals. While we expect that this relationship will continue, we cannot guarantee that it will.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material change in our relationship with PPTG or other affiliated professional entities, whether resulting from a dispute among the entities, a change in government regulation, or the loss of these affiliations, could impair our ability to provide services to our members and could have a material adverse effect on our business, financial condition, results of operations, and prospects. In addition, the arrangement in which we have entered to comply with state corporate practice of physical therapy and medicine doctrines could subject us to additional scrutiny by federal and state regulatory bodies regarding federal and state fraud, waste, and abuse laws. Any scrutiny, investigation, or litigation with regard to our arrangement with PPTG or other affiliated professional entities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our affiliated professional entities, and our other business partners may become subject to medical liability claims, which could cause us to incur significant expenses and may require us to pay significant damages if not covered by insurance.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entails the risk of medical liability claims against both us, our affiliated professional entities, and our other business partners. Successful medical liability claims could result in substantial damage awards that exceed the limits of any insurance coverage. In addition, professional liability insurance is expensive and insurance premiums may increase significantly in the future, particularly as we expand our services. As a result, adequate professional liability insurance may not be available to us, our affiliated professional entities, or our other business partners at acceptable costs or at 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claims made against us may adversely affect our business or reputation, and any claims that are not fully covered by insurance could be costly to defend against, result in substantial damage awards against us, and divert the attention of our management and our partners from our operations,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risks from legal and arbitration proceedings that may prevent us from pursuing our business activities or require us to incur additional costs in defending against claims or paying damages.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Failure to comply with the FCPA, economic and trade sanctions regulations, and similar laws could subject us to penalties and other adverse consequences.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the FCPA and other laws in the U.S. and elsewhere that prohibit improper payments or offers of payments to foreign governments and their officials and political parties for the purpose of obtaining or retaining business. Certain suppliers and manufacturers of devices and supplies provided in connection with our programs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certain economic and trade sanctions programs that are administered by the U.S. Department of the Treasury’s Office of Foreign Assets Control which prohibit or restrict transactions to or from or dealings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specified countries, their governments, and in certain circumstances, their nationals, and with individuals and entities that are specially-designated nationals of those countries, narcotics traffickers, and terrorists or terrorist organizations.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the regulation of the Internet could adversely affect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increase our operating expenses and expose us to significant liabilities. To the extent any such regulations require us to take actions that negatively impact us, they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Legislative or regulatory healthcare reforms or reductions in government spending may make it more difficult and costly to produce, market, and distribute our programs or to do so profitably.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Recent political, economic, and regulatory influences are subjecting the healthcare industry to fundamental changes. Federal and state governments in the U.S. and foreign governments continue to propose and pass new legislation and regulations designed to contain or reduce the cost of healthcare, improve quality of care, and expand access to healthcare. For example, the Patient Protection and Affordable Care Act, as amended by the ACA, made major changes in how healthcare is delivered and reimbursed and increased access to health insurance by the uninsured and underinsured population of the U.S. The ACA, among other things, increased the number of individuals eligible for Medicaid and private insurance coverage, implemented reimbursement policies that tie payment to quality, facilitated the creation of accountable care organizations that may use capitation and other alternative payment methodologies, strengthened enforcement of fraud, waste, and abuse laws, and encouraged the use of 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ACA requires (with limited exceptions) that private health plans cover certain recommended preventive services without imposing member cost-sharing.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Separately, individuals covered by HDHPs may receive preventive care, including certain preventive services identified by agencies like the U.S. Preventive Services Task Force and certain other items identified by the IRS, without cost-sharing, even if the high deductible has not yet been met, while remaining eligible to make HSA contributions. Additionally, HDHP participants will remain eligible to make HSA contributions even if, before their high deductible has been met, they receive disease management or wellness programs that do not provide significant benefits in the nature of medical care or treatment, without cost-sharing and if they receive telehealth services.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Although the ACA’s delegation to the U.S. Preventive Services Task Force to recommend preventive services for ACA-compliant plans was challenged in </w:t>
      </w:r>
      <w:r>
        <w:rPr>
          <w:rFonts w:ascii="Times New Roman;serif" w:hAnsi="Times New Roman;serif"/>
          <w:b w:val="false"/>
          <w:i/>
          <w:color w:val="000000"/>
          <w:sz w:val="20"/>
        </w:rPr>
        <w:t>Braidwood Management Inc., et al. v. Xavier Becerra, et al.</w:t>
      </w:r>
      <w:r>
        <w:rPr>
          <w:rFonts w:ascii="Times New Roman;serif" w:hAnsi="Times New Roman;serif"/>
          <w:b w:val="false"/>
          <w:color w:val="000000"/>
          <w:sz w:val="20"/>
        </w:rPr>
        <w:t>, the authority to make that delegation was confirmed by the U.S. Supreme Court in June 2025. As a result, the U.S. Preventive Services Task Force recommendations that are approved by the Secretary of Health and Human Services are mandatory for ACA-compliant plans. Additionally, the IRS has issued guidance indicating that those same recommended services will continue to be considered preventive care that does not affect HSA eligibility for a HDHP participant. Nevertheless, any future changes to this guidance or to the types of care that HDHP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legislative changes have been adopted since the ACA was enacted. These changes include aggregate reductions to Medicare payments to providers, which began in 2013 and, due to subsequent legislative amendments, will stay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w:t>
      </w:r>
    </w:p>
    <w:p>
      <w:pPr>
        <w:pStyle w:val="TextBody"/>
        <w:bidi w:val="0"/>
        <w:spacing w:lineRule="auto" w:line="26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2025, the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OBBBA also, however, expands access to telehealth and other remote-care services for individuals who are covered by HDHPs by permanently extending the previous, COVID-era safe harbor permitting HDHPs to cover these services without cost-sharing.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laws may result in additional reductions in Medicare, Medicaid and other healthcare funding, which may materially and adversely affect demand for our programs among customers, channel partners, and members and affordability for our programs and, accordingly, our business, financial condition, results of operations, and prospects. Federal, state, or local budget cuts and cancellation of grants to state and local health departments and other agencies have reduced, and may continue to reduce, the number of individuals covered by those government funds for our programs. Additional changes that may affect our business include the expansion of new programs such as Medicare payment for performance initiatives for physicians under the Medicare Access and CHIP Reauthorization Act of 2015, which first affected physician payment in 2019. At this time, it is unclear how the introduction of the Medicare quality payment program will impact overall healthcare reimbursement. Such changes in the regulatory environment may also result in changes to our payer mix that may affect our operations and revenue.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 We expect that additional state and federal healthcare reform measures will be adopted in the future, any of which could limit the amounts that federal and state governments and other third-party payers will pay for healthcare products and services,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consumer protection laws that regulate our marketing and benefit outreach practices and prohibit unfair or deceptive acts or practices. Our actual or perceived failure to comply with such obligations could harm our business, and changes in such regulations or laws could require us to modify our programs or marketing, advertising, or benefit outreach efforts.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marketing or advertisement of our programs to potential customers and channel partners and our benefit outreach to covered individuals, we could be the target of claims relating to false, misleading, deceptive, or otherwise noncompliant advertising, marketing, or outreach practices, including under the auspices of the FTC and state consumer protection statutes. To the extent we use third parties to assist with or conduct any marketing, advertising, or benefit outreach regarding our programs, we could be liable for, or face reputational harm as a result of, their practices if, for example, they fail to comply with applicable statutory and regulatory requirements.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found to have breached any consumer protection, advertising, unfair competition, or other laws or regulations, we may be subject to enforcement actions that require us to change our marketing or advertising to potential customers and channel partners, our benefit outreach to covered individuals, and other business practices in a manner which may negatively impact us. This could also result in litigation, fines, penalties, and adverse publicity that could cause reputational harm and loss of trust from customers, channel partners, and members,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Certain of the devices and supplies provided in connection with our programs are subject to extensive government regulation at the federal and state level, and any failure by the producers of such devices to comply with applicable requirements could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devices provided in connection with our programs, including blood pressure monitors, blood glucose monitors (including continuous glucose monitors), and diagnostic blood tests, are medical devices that are subject to extensive regulation in the U.S., including by the FDA and state agencies. The FDA regulates, among other things, the design, development, research, manufacture, testing, packaging, distribution, storage, recordkeeping, reporting, labeling,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marketing, promotion, advertising, sale, import, and export of devices. We rely on third parties to supply and manufacture the devices provided in connection with our programs. Applicable medical device regulations are complex and have tended to become more stringent over time, and regulatory changes could result in restrictions on the ability of our manufacturers to supply the devices that we provide to members in connection with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the connected devices we provide to our members, including the blood glucose monitors and blood pressure monitors, have received 510(k) clearance. In the 510(k) clearance process, before a device may be marketed, the FDA must determine that the proposed device is “substantially equivalent” to a legally marketed “predicate” device, which includes a device that has been previously cleared through the 510(k) process, a device that was legally marketed prior to May 28, 1976 (a pre-amendments device), a device that was originally on the U.S. market pursuant to an approved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modifications made to products cleared through a 510(k) may require a new 510(k) clearance. Both the PMA approval and the 510(k) clearance process can be expensive, lengthy, and uncertain. We do not manufacture, reprocess, remanufacture, export, or act as an initial importer or specification developer for the medical devices we provide to members, nor have we sought or obtained 510(k) clearance, PMA approval, or other marketing authorizations for the connected devices provided in connection with our programs. We remain wholly reliant on our suppliers and contract manufacturers to obtain the requisite marketing authorizations for their products and to comply with their respective obligations to comply with applicable FDA regulations and other legal requirements, including complying with relevant element of FDA’s Quality Management System Regulation, which sets forth the FDA’s current Good Manufacturing Practice requirements for medical devices. We cannot assure you that our suppliers and contract manufacturers will comply with applicable laws and regulation, nor can we assure that any particular medical device we may seek to provide in connection with our programs will be approved, cleared, or otherwise authorized, by the FDA in the manner in which we expect. Any failures by our suppliers or third-party manufacturers to comply with applicable laws or regulations enforced by the FDA and comparable regulatory authorities, or any delay or failure by such parties to obtain necessary regulatory clearances or approvals for the devices we use in connection with our programs, if required in the future, could harm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third-party suppliers fail to comply with the FDA’s Quality Management System Regulation or similar foreign regulations, our ability to distribute the devices that are provided to members in connection with our programs could be impaired.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our third-party suppliers are required to comply with the FDA’s QMSR and similar foreign regulations, which cover the methods and documentation of the design, testing, production, control, quality assurance, labeling, packaging, sterilization, storage, and shipping of the devices that are provided to members in connection with our programs. The FDA and foreign regulators audit compliance with the QMSR and similar foreign regulations through periodic announced and unannounced inspections of manufacturing and other facilities. The FDA or foreign regulators may impose inspections or audits at any time.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cannot guarantee that our third-party suppliers will take the necessary steps to comply with applicable regulations, and their failure to do so could cause delays in the manufacture and delivery of our products. In addition, a third-party supplier’s failure to comply with applicable FDA requirements or later discovery of previously unknown problems with the devices or manufacturing processes for the devices could result in, among other things: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suspension or withdrawal of future clearances or approvals;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seizures or recalls of the devices;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total or partial suspension of production or distribution for the devices;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administrative or judicially imposed sanctions against the devices;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refusal to permit the import or export of the devices;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of these actions could significantly and negatively impact supply of the connected devices that we are required to provide to members in connection with our programs. If any of these events occurs, our reputation could be harmed, we could be exposed to product liability claims, and we could lose customers and channel partners and suffer reduced revenue and increased costs.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could be adversely affected by legal challenges to our business model or by actions restricting our ability to provide the full range of our services in certain jurisdictions.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conduct our business in a particular U.S. state is directly dependent upon the applicable laws governing virtual healthcare and healthcare delivery in general in such location, which vary from state to state and are subject to changing political, regulatory, and other influences. With respect to virtual care services, in the past, state medical and physical therapy boards have established new rules or interpreted existing rules in a manner that has limited or restricted our and our affiliated professional entities’ ability to conduct business as it was conducted in other states or may do so in the future. Some of these actions have resulted in litigation and the suspension or modification of virtual care operations in certain states. Requirements for the practice of medicine and physical therapy as well as the delivery of medical or prescription services via telehealth are subject to change and to evolving interpretations by relevant boards and state attorneys general, among others, each with broad discretion, and these requirements may apply to certain services we provide. Accordingly, we must monitor our compliance with laws in every jurisdiction in which we operate, on an ongoing basis, and we cannot provide assurance that our activities and arrangements, if challenged, will be found to be in compliance with applicable laws. It is possible that the laws and rules governing the provision of healthcare, including virtual healthcare, in one or more jurisdictions may change in a manner deleterious to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Increased regulation and legislative review of virtual healthcare practices could further increase our costs of doing business. Authorities may not agree with our interpretation of existing or future legislation and regulation, which may require us to incur additional costs. Further, new or existing measures may restrict the delivery of certain virtual services, such as virtual physical therapy or prescribing medications, including GLP-1s, based solely on a telehealth visit, or add new requirements, including requirements that members receiving those virtual services have the right to request and receive in-person care. If states pass additional measures, we may need to make adjustments to the delivery of our platform and programs in those jurisdictions. New or existing measures could make it difficult and more expensive to operate our business in general or to operate our business in those states,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legal challenge to our activities and arrangements is successful, or an adverse change in the relevant laws were to occur, and we were unable to adapt our business model accordingly, our operations as well as the operations of our affiliated professional entities in the affected jurisdictions would be disrupted, which could have a material adverse effect on our business, financial condition, results of operations, and prospects. Failure to comply with these laws could also result in professional discipline for the providers of our affiliated professional entities or business partners or civil or criminal penalties.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Financial and Accounting Matters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other tax attributes may be limited due to certain provisions of the Internal Revenue Code or state tax law.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and have not achieved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occurs if there is a greater than 50 percentage point change (by value) in a corporation’s equity ownership by certain stockholders over a rolling three-year period.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effective tax rate may vary significantly from period to period.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tax laws or tax rulings could adversely affect our effective tax rates, results of operations, and financial condition.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 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The applicability of sales, use, and other tax laws or regulations on our business is uncertain. Adverse tax laws or regulations could be enacted or existing laws could be applied to us, our customers, or our channel partners,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could subject us to additional tax liability and related interest and penalties, increase the costs of our programs, and adversely impact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application of federal, state, local, and international tax laws to services provided electronically is evolving. New income, sales, use, value-added, or other tax laws, statutes, rules, regulations, or ordinances could be enacted at any time (possibly with retroactive effect) and could be applied solely or disproportionately to services provided over the Internet or could otherwise materially affect our results of operations and financial condition.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state, local, and foreign tax jurisdictions have differing rules and regulations governing sales, use, value-added, and other taxes, and these rules and regulations can be complex and are subject to varying interpretations that may change over time. Existing tax laws, statutes, rules, regulations, or ordinances could be interpreted, changed, modified, or applied adversely to us (possibly with retroactive effect). We have not collected sales taxes in all jurisdictions in which our customers and members are located, and we believe we may have exposure for potential sales tax liability, including interest and penalties, for which we have established a reserve in our financial statements based on estimates, and any sales tax exposure may be material to our operating results. Although our contracts with customers and channel partners typically provide that our customers and channel partners must pay all applicable sales and similar taxes, they may be reluctant to pay back taxes and associated interest or penalties, or we may determine that it would not be commercially feasible to seek reimbursement. In addition, we, our customers, or our channel partners could be required to pay additional tax amounts on both future as well as prior sales, and possibly fines or penalties and interest for past due taxes. If we are required to collect and pay back taxes and associated interest and penalties, and if the amount we are required to collect and pay exceeds our estimates and reserves, or if we are unsuccessful in collecting such amounts from our customers or channel partners, we could incur substantial unplanned expenses, thereby adversely impacting our operating results and cash flows. Imposition of such taxes on our services going forward or collection of sales tax from our customers or channel partners in respect of prior sales could also adversely affect our sales activity and have a negative impact on our operating results and cash flows.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One or more states may seek to impose incremental or new sales, use, value added, or other tax collection obligations on us, including for past sales by us or our channel partners. A successful assertion by a state, country, or other jurisdiction that we should have been or should be collecting additional sales, use, value added, or other taxes on our programs could, among other things, result in substantial tax liabilities for past sales, create significant administrative burdens for us, discourage members from utilizing our programs or otherwise harm our business,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cash deposits with financial institutions exceed insured limits.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For example, bank failures in early 2023 impacted the timing of the collection of our receivables as we switched depositories. Any inability to access or delay in accessing these funds could adversely affect our business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accounting principles or the interpretation thereof by the Financial Accounting Standards Board (“FASB”) affecting consolidation of entities could impact our consolidation of total revenues derived from PPTG.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consolidated and include the accounts of PPTG, a professional corporation owned and operated by physical therapists that was determined to be a variable interest entity (“VIE”) for which we are the primary beneficiary, which consolidation is effected in accordance with applicable accounting rules. In the event of a change in accounting principles promulgated by FASB or in FASB’s interpretation of its principles, an adverse determination by a regulatory agency or a court, or a change in federal or state law relating to the ability to maintain present agreements or arrangements with PPTG, we may not be permitted to continue to consolidate the total revenues of PPTG. While our revenues derived from PPTG are not material, in the event PPTG revenues were to become a material portion of our revenues in the future, any inability to include the accounts of PPTG in our financial statements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Risks Relating to Our Common Stock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reporting requirements applicable to emerging growth companies will make our common stock less attractive to investors.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(the “JOBS Act”). We will remain an “emerging growth company” until the earliest to occur of:</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last day of the fiscal year during which our total annual revenue equals or exceeds $1.235 billion (subject to adjustment for inflation);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last day of the fiscal year following the fifth anniversary of our IPO;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date on which we have, during the previous three-year period, issued more than $1 billion in non-convertible debt;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date on which we are deemed to be a “large accelerated filer” under the Exchange Act.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will continue to incur increased costs and be subject to additional regulations and requirements as a result of recently becoming a public company, which could lower our profits or make it more difficult to run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public company, we will continue to incur significant legal, accounting, and other expenses that we did not incur as a private company, including costs associated with public company reporting requirements. We have also incurred and will continue to incur costs associated with the Sarbanes-Oxley Act and related rules implemented by the SEC and the exchange our securities are listed on.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maintain internal control over financial reporting and to report any material weaknesses in such internal controls. In addition, beginning with our next annual report on Form 10-K, we will be required to furnish a report by management on the effectiveness of our internal control over financial reporting, pursuant to Section 404 of the Sarbanes-Oxley Act.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The process of designing, implementing,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testing the internal control over financial reporting required to comply with this obligation is time consuming, costly, and complicated.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identified material weaknesses in our internal control over financial reporting as of December 31, 2025, 2024, and 2023.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identified control deficiencies related to: (i) inadequate segregation of duties within our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 These material weaknesses resulted in adjustments to the financial statements for the years ended December 31, 2023 and 2024.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year 2025, with the oversight of the Audit Committee of the Board of Directors, the Company began implementing a remediation plan to address these material weaknesses. As a result of this remediation plan, management determined that the previously identified material weaknesses related to (i) inadequate segregation of duties within our financial reporting process and (ii) insufficient complement of personnel with an appropriate level of technical knowledge to properly account for significant transactions were each remediated as of December 31, 2025. Management also concluded that, as of December 31, 2025, the remediation of the material weakness related to inadequate formalized processes and control activities to support the financial close and reporting process, including the review of financial information, account analysis, and journal entries, will require further enhancement, validation, and testing of the design and operating effectiveness of internal controls over a sustained period of financial reporting cycles. This remaining material weakness resulted in adjustments to the financial statements for the year ended December 31, 2025.</w:t>
      </w:r>
    </w:p>
    <w:p>
      <w:pPr>
        <w:pStyle w:val="TextBody"/>
        <w:bidi w:val="0"/>
        <w:spacing w:before="0" w:after="0"/>
        <w:ind w:left="0" w:right="0" w:firstLine="450"/>
        <w:jc w:val="both"/>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response to the remaining material weakness, we are committed to improving our internal control over financial reporting by implementing a remediation plan that includes: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Continuing to hire qualified technical accounting and financial reporting personnel with public company experience to perform control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Continuing the process of implementing, enhancing, and formalizing control activities related to significant accounts and disclosures;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Investing in additional technology infrastructure and refinement to enhance monitoring of financial transactions and exceptions and to promote related data integrity.</w:t>
      </w:r>
    </w:p>
    <w:p>
      <w:pPr>
        <w:pStyle w:val="TextBody"/>
        <w:bidi w:val="0"/>
        <w:spacing w:before="0" w:after="0"/>
        <w:ind w:left="0" w:right="0" w:firstLine="450"/>
        <w:jc w:val="both"/>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remediation actions are subject to ongoing review by our senior management and oversight from our audit committee. We will not be able to conclude whether these remediation actions will fully remediate the material weaknesses in our internal control over financial reporting until we have completed our remediation efforts and subsequent evaluation of their effectiveness.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assure you that the measures we have taken to date, and are continuing to implement, will be sufficient to remediate the material weakness we have identified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fail to remediate our existing material weakness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before="0" w:after="240"/>
        <w:ind w:left="0" w:right="0" w:firstLine="45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market price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Additionally, our ability to pay cash dividends on our capital stock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operating and financial performance in any given period does not meet any guidance that we provide to the public, the market price of our common stock may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but are not obligated to, provide public guidance on our expected operating and financial results for future periods. Any such guidance will be composed of forward-looking statements subject to the risks and uncertainties described in this Annual Report on Form 10-K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might require additional capital to support business growth, and this capital might not be available on terms favorable to us, or at all, and may dilute existing stockholders’ ownership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and opportunities, including the need to develop new programs, enhance our existing programs, enhance our operating infrastructure, expand internationally, and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principal stockholders and management own a significant percentage of our stock and will be able to exert significant control over matters subject to stockholder approval.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executive officers, directors, holders of 5% or more of our capital stock and their respective affiliates own a significant percentage of our stock and have the ability to influence us through this ownership position. These stockholders may be able to exert significant control over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our stock price to fall.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large number of shares of our common stock in the public market and/or the perception that these sales could occur may cause the trading price of our common stock to decline and impair our ability to raise adequate capital through the sale of additional equity or equity-linked securities.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Holders of a significant number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contain provisions that could delay or prevent changes in control or changes in our management without the consent of our board of directors. These provisions include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result in significant dilution to our common stockholders (including upon the conversion of any such shares of preferred stock into common stock) and could also be used to significantly dilute the ownership of a hostile acquirer;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our board of directors to alter our amended and restated bylaws without obtaining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required approval of at least 66 2/3% of the shares entitled to vote at an election of directors to adopt, amend, or repeal our amended and restated bylaws or to repeal certain provisions of our restated certificate of incorporation;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our board of directors, which may delay the ability of our stockholders to force consideration of a proposal or to take action, including the removal of directors;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Claims for indemnification by our directors, officers, and other employees or agents may reduce our available funds to satisfy successful third-party claims against us and may reduce the amount of money available to 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officers, and certain other employees provide that: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restated certificate of incorporation and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restated certificate of incorporation or our amended and restated bylaws, or any action asserting a claim against us that is governed by the internal affairs doctrine; provided that, the exclusive forum provision does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and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Nothing in our restated certificate of incorporation or amended and restated bylaws precludes stockholders that assert claims under the Exchange Act from bringing such claims in state or federal court, subject to applicable law.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restated certificate of incorporation and amended and restated bylaws to be inapplicable or unenforceable in an action, we may incur additional costs associated with resolving such action in other jurisdictions, which could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 which could cause the value of your investment to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technology or virtual care industry, or individual scandals, and, in response, the market price of our common stock could decrease significantly. You may be unable to resell your shares of common stock at or above the purchase price.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continue to publish research or reports about our business, or if they issue an adverse or misleading opinion regarding our stock, our stock price and trading volume could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engage in acquisitions or strategic transactions or partnerships, it may increase our capital requirements, dilute our stockholders, cause us to incur debt or assume contingent liabilities, and subject us to other risks.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evaluate various acquisitions and strategic transactions or partnerships, including licensing or acquiring complementary offerings, intellectual property rights, technologies, or businesses. Any acquisition or strategic transaction or partnership may entail numerous risks,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increased operating expenses and cash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assumption of additional indebtedness or contingent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goodwill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assimilation of operations, intellectual property, and offerings of an acquired company, including difficulties associated with integrating new personnel;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diversion of our management’s attention from our existing programs and initiatives in pursuing such a strategic merger or acquisition;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loss of key personnel and uncertainties in our ability to maintain key business relationships;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uncertainties associated with the other party to such a transaction, including the prospects of that party and their existing products or product candidates and regulatory approvals;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inability to generate revenue from acquired technology and/or offerings sufficient to meet our objectives in undertaking the acquisition or even to offset the associated acquisition and maintenance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undertake acquisitions or strategic transactions or partnerships, we may issue dilutive securities, assume or incur debt obligations, incur large one-time expenses, and acquire intangible assets that could result in significant future amortization expense. Acquisitions or strategic transactions or partnerships could also result in costly litigation or liabilities for any breach of representation or warranties made in connection with those transactions.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identification of these transactions can be difficult, time-consuming, and costly, and the transactions may not result in the benefits we anticipate. We may not be able to locate suitable opportunities for acquisitions or strategic transactions or partnerships, and even if we do locate such opportunities we may not be able to successfully bid for or obtain them on favorable terms, if at all, due to competitive factors or lack of sufficient resources. This inability could impair our ability to grow or obtain access to technology or products that may be important to the development of our business. Entering into negotiations for transactions that are not ultimately consummated may also result in diversion of management time and significant out-of-pocket costs. In addition, any acquisitions or strategic transactions or partnerships that we announce could be viewed negatively by our customers and channel partners, our members, our investors, or the public.</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Economic uncertainties or downturns in the general economy or the industries in which we or our customers or channel partners operate could disproportionately affect the demand for our programs and negatively impact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Economic downturns, market volatility, inflation, tariffs (including uncertainty related to the implementation and enforceability thereof), and uncertainty make it potentially very difficult for us and our customers and channel partners to accurately forecast and plan future business activities. During challenging economic times, our customers or channel partners may have difficulty gaining timely access to sufficient credit or obtaining credit on reasonable terms, which could impair their ability to make timely payments to us and adversely affect our revenue. Bank failures have had and in the future may have a similar impact on the ability or willingness of our customers and channel partners to make payments to us and the timing of collection of our receivables. If that were to occur, our financial results could be harmed. Furthermore, we have customers in a variety of different industries. A significant downturn in the economic activity attributable to any particular industry may cause organizations to react by reducing their capital and operating expenditures in general or by specifically reducing their spending on healthcare matters, including chronic care programs. In addition, our customers or channel partners may delay or cancel healthcare projects or seek to lower their costs by renegotiating contracts. To the extent purchases of our programs are perceived by existing or potential customers and channel partners to be discretionary, our revenue may be disproportionately affected by delays or reductions in general healthcare spending. Also, competitors may respond to challenging market conditions by lowering prices and attempting to lure away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challenging economic conditions, including as a result of increased inflation and tariffs (including uncertainty related to the implementation and enforceability thereof), may impair the ability of our customers and channel partners to pay for the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certain of our physical therapy members are covered under health plans that require the member to cover a portion of their own healthcare expenses through the payment of member cost-sharing amounts, such as copayments, deductibles, or co-insurance. PPTG may not be able to collect the full amounts due with respect to these payments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member’s financial responsibility. To the extent permitted by law, amounts not covered by third-party payers are the obligations of individual members for which PPTG may not receive whole or partial payment. Any increase in cost shifting from third-party payers to individual members, including as a result of high deductible plans for members, increases our collection costs and reduces overall collections, which we may not be able to offset such additional costs with sufficient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and implemented a cybersecurity risk management program intended to protect the confidentiality, integrity, and availability of our information and critical systems.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program is integrated into our overall risk management strategy, is designed to identify, assess, and mitigate critical risks from cybersecurity threats, and shares common methodologies, reporting channels, and governance processes that apply across the risk management program to other legal, compliance, strategic, operational, and financial risk areas. Our cybersecurity risk management program is overseen by our Chief Information Security Officer (“CISO”) and aspects of that program are regularly audited by third-party audit partners, who, as appropriate, help to assess our cybersecurity program against industry standards.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information security program is informed by well-established regulatory frameworks, including the HIPAA Security and Privacy rules and various additional federal and state privacy regulations, as well as industry standards such as the American Institute of Certified Public Accountants (“AICPA”) Trust Service Criteria, the National Institute of Standards and Technology Cybersecurity Framework, and the HITRUST Common Security Framework. We have an active HITRUST certification and Service Organization Control ("SOC") 2 Type II attestation on all five AICPA trust criteria that are audited annually and issued by external, independent entities.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Key elements of our cybersecurity risk management program include but are not limited to the following elements: a security team principally responsible for managing our cybersecurity risk assessment processes, security controls, and response to cybersecurity incidents, vulnerability and penetration scanning on systems and applications; endpoint detection capabilities to identify malware and other indicators of threat activity; multifactor authentication; and blocking of malicious e-mail. In addition, we also provide annual cybersecurity awareness training for our employees and contractors, including those responsible for incident response, as well as senior management. Further, we use external service providers, where appropriate, to assess, test, or otherwise assist with aspects of our security. For example, we engage with an external security firm to perform regular penetration testing. We subject our key third-party service providers to risk evaluation based on our assessment of their criticality to our operations and respective risk profile. Additionally, we have a process to engage with these third parties to understand potential impacts of, and remediation efforts associated with, critical vulnerabilities.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monitor our cybersecurity posture through periodic risk assessments designed to help identify material risks from cybersecurity threats to our critical systems and information. We also conduct external audits, which are reviewed primarily by our CISO and others as needed and incorporated into our overall cybersecurity risk management program. In the event of a potential cybersecurity incident, or a series of related cybersecurity incidents, we have a documented security incident response plan designed to provide a consistent approach to identifying, classifying and responding to the incident as well as a defined escalation process to management to assess the materiality.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date, we have not identified risks from any known cybersecurity incidents or threats, including as a result of our prior cybersecurity incidents, that have materially affected us, including our operations, business strategy, results of operations, or financial condition. We face risks from cybersecurity threats that, if realized, are reasonably likely to materially affect us, including our business strategy, results of operations, or financial condition. See “Risk Factors Risks Related to Cybersecurity, Information Systems, and Intellectual Property” for additional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Governance Related to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considers cybersecurity risk as part of its risk oversight function and has delegated to the Audit Committee oversight of our cybersecurity risk. This includes, but is not limited to, oversight of management’s implementation of our cybersecurity risk management program.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CISO reports to the Audit Committee on an annual basis on any relevant cybersecurity issues or risks, related controls, procedures and programming, as well as any material updates to our cybersecurity risk management and strategy, broader cybersecurity trends, and relevant educational information. In addition, our CISO updates the Audit Committee, where it deems appropriate, regarding any material cybersecurity incidents, as well as any incidents it considers to be significant or potentially significant.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Audit Committee reports to the full Board regarding its activities, including those related to cybersecurity. The full Board receives regular reports from our CISO related to evaluations of our cyber risk management program and other cybersecurity topics, informed by internal security staff and certain external experts.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CISO, William Dougherty, has over twenty years of experience protecting and overseeing information security, information technology operations, and managed services for a host of technology companies. Mr. Dougherty regularly engages with other members of our executive management team, including our VP of Compliance, General Counsel, and Chief Technology Officer, as well as a Risk Committee of senior executives, to discuss cyber risk.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remote company, and we do not maintain a primary headquarters or own any real property.</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legal proceedings and claims arising in the ordinary course of our business. We are not currently party to any proceeding the outcome of which we believe, if determined adversely to us, would individually or in the aggregate have a material adverse effect on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Market Information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Omada common stock is traded on Nasdaq, under the symbol “OMDA.”</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Shareholder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 2026, we had approximately 52 shareholders of record. This does not include persons whose stock is in nominee or “street name” accounts through brokers. We are unable to estimate the total number of stockholders represented by these record holders.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We currently intend to retain all available funds and any future earnings for use in the operation of our business and do not anticipate paying any dividends on our common stock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this Item will be set forth in our Proxy Statement for the 2026 Annual Meeting of Stockholders to be filed with the SEC within 120 days of the fiscal year ended December 31, 2025.</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did not purchase any of our registered equity securities during the period covered by this report.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Stock Performance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shall not be deemed incorporated by reference into any of our other filings under the Exchange Act or the Securities Act.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data and graph show a comparison of the cumulative total shareholder return for our common stock, the S&amp;P 500 Index, and S&amp;P 500 Healthcare Index from June 6, 2025 (the date that our common stock commenced trading on the NYSE) through December 31, 2025. This data assumes simultaneous investments of $100 on June 6, 2025 and reinvestment of any dividends. The stockholder return shown in the graph below is not necessarily indicative of future performance, and we do not make or endorse any predictions as to future stockholder returns.</w:t>
      </w:r>
    </w:p>
    <w:p>
      <w:pPr>
        <w:pStyle w:val="TextBody"/>
        <w:bidi w:val="0"/>
        <w:spacing w:before="0" w:after="240"/>
        <w:jc w:val="center"/>
        <w:rPr/>
      </w:pPr>
      <w:r>
        <w:rPr/>
        <w:drawing>
          <wp:inline distT="0" distB="0" distL="0" distR="0">
            <wp:extent cx="6210300" cy="3562350"/>
            <wp:effectExtent l="0" t="0" r="0" b="0"/>
            <wp:docPr id="7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 descr=""/>
                    <pic:cNvPicPr>
                      <a:picLocks noChangeAspect="1" noChangeArrowheads="1"/>
                    </pic:cNvPicPr>
                  </pic:nvPicPr>
                  <pic:blipFill>
                    <a:blip r:embed="rId2"/>
                    <a:stretch>
                      <a:fillRect/>
                    </a:stretch>
                  </pic:blipFill>
                  <pic:spPr bwMode="auto">
                    <a:xfrm>
                      <a:off x="0" y="0"/>
                      <a:ext cx="6210300" cy="3562350"/>
                    </a:xfrm>
                    <a:prstGeom prst="rect">
                      <a:avLst/>
                    </a:prstGeom>
                  </pic:spPr>
                </pic:pic>
              </a:graphicData>
            </a:graphic>
          </wp:inline>
        </w:drawing>
      </w:r>
      <w:bookmarkStart w:id="1" w:name="i-1"/>
      <w:bookmarkEnd w:id="1"/>
    </w:p>
    <w:tbl>
      <w:tblPr>
        <w:tblW w:w="10199" w:type="dxa"/>
        <w:jc w:val="left"/>
        <w:tblInd w:w="0" w:type="dxa"/>
        <w:tblLayout w:type="fixed"/>
        <w:tblCellMar>
          <w:top w:w="28" w:type="dxa"/>
          <w:left w:w="28" w:type="dxa"/>
          <w:bottom w:w="28" w:type="dxa"/>
          <w:right w:w="28" w:type="dxa"/>
        </w:tblCellMar>
      </w:tblPr>
      <w:tblGrid>
        <w:gridCol w:w="634"/>
        <w:gridCol w:w="559"/>
        <w:gridCol w:w="562"/>
        <w:gridCol w:w="211"/>
        <w:gridCol w:w="721"/>
        <w:gridCol w:w="109"/>
        <w:gridCol w:w="211"/>
        <w:gridCol w:w="721"/>
        <w:gridCol w:w="109"/>
        <w:gridCol w:w="211"/>
        <w:gridCol w:w="721"/>
        <w:gridCol w:w="109"/>
        <w:gridCol w:w="211"/>
        <w:gridCol w:w="721"/>
        <w:gridCol w:w="109"/>
        <w:gridCol w:w="211"/>
        <w:gridCol w:w="721"/>
        <w:gridCol w:w="109"/>
        <w:gridCol w:w="216"/>
        <w:gridCol w:w="738"/>
        <w:gridCol w:w="111"/>
        <w:gridCol w:w="216"/>
        <w:gridCol w:w="738"/>
        <w:gridCol w:w="111"/>
        <w:gridCol w:w="215"/>
        <w:gridCol w:w="737"/>
        <w:gridCol w:w="157"/>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 Index</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6/6/2025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6/30/2025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7/31/2025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8/31/2025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9/30/2025</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10/31/2025</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11/30/2025</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12/31/2025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Omada Health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Healthcare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unregistered securities issued and sold during the year ended December 31, 2025 are disclosed in our Quarterly Reports on Form 10-Q for the quarters ended June 30, 2025 and September 30,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9, 2025, we completed our IPO, in which we issued and sold 9,085,000 shares of common stock, which includes the exercise in full by the underwriters of their option to purchase from us 1,185,000 shares of our common stock, at a public offering price of $19.00 per share. We received proceeds of approximately $151.6 million, after deducting underwriting discounts and commissions of $12.0 million and estimated offering expenses of $9.0 million. All shares sold were registered pursuant to a registration statement on Form S-1 (File No. 333-287156), as amended (the “Registration Statement”), declared effective by the U.S. Securities and Exchange Commission on June 5, 2025. Morgan Stanley &amp; Co, LLC, Goldman Sachs &amp; Co. LLC, and J.P. Morgan Securities LLC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expected use of the net proceeds from our IPO as described in our prospectus.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6. [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consolidated financial statements and the related notes included elsewhere in this Form 10-K. This discussion contains forward-looking statements that involve risks and uncertainties. Our actual results could differ materially from management’s expectations as a result of various factors, including, but not limited to, those discussed in the sections titled “Risk Factors” and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launched our initial program in diabetes prevention and weight health in 2012, with the goal of showing that a virtual program could achieve the same clinical results as its in-person archetype. Today, we offer cardiometabolic programs for prediabetes, diabetes, hypertension, and high cholesterol; a physical therapy program to address musculoskeletal (“MSK”) conditions; additional support for members taking glucagon-like peptide-1 agonists (“GLP-1”) in our cardiometabolic programs (“GLP-1 Care Tracks”); and behavioral health support across all programs. As of December 31, 2025, we had more than 2,000 customers and over 886,000 total members enrolled in one or more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virtual care programs are rooted in evidence and combine relationship-based, human-led clinical care with purpose-built technology. We call this approach Compassionate Intelligence. Our Care Teams, composed of health coaches, select relevant specialists, and licensed physical therapists, depending on the program, deliver healthcare to our members within the scope of their credentials. Our prescribing capability also incorporates third-party licensed obesity care providers for prescribing AOMs and related medication management. Omada Care Teams are supported by our proprietary Care Team Platform that is purpose-built to magnify the impact of our Between-Visit Care model and drive operational excellence in a trusted and secure way. Broadly, our integrated technology platform supports activities across the entire lifecycle of our work with customers, channel partners, and members: from benefit eligibility confirmation and enrollment outreach to application and member onboarding, device management and fulfillment, member-facing tools and applications, Care Team tools, data capture and storage, and platform and billing infrastructure. The investments in our technology and Care Team Platform have enabled us to scale and serve nearly two million members since launch, while maintaining the ability to deliver an exceptional member experience, with high clinical quality and consistency.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Key Factors Affecting Our Performance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Acquisition of New Customers and Channel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there is substantial opportunity to further grow our base of customers and channel partners in our large addressable market. Historically, we have relied on a limited number of customers and channel partners, including employers, health plans, PBMs, health systems, and government entities,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which can limit an end customer’s ability to continue purchasing our programs if the customer no longer works with a particular channel partner. Some of the health plans and PBMs we work with as channel partners also cover our programs directly, for a portion of their own members, as our customers.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grow our business by acquiring more covered lives across multiple buyer categories: selling to new customers and channel partners as well as expanding within our existing channel partners to new lines of business. Our diverse go-to-market strategy affords us flexibility to pursue growth via multiple distinct channels, including through new channels and in lines of business where we have yet to place significant focus, such as Medicare 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Customer and Channel Partner Retention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increase revenue depends on maintaining and deepening relationships with customers and channel partners over time, driving both renewal revenue and expansion revenue as customers and channel partners add new programs to provide to their member base. We have invested and plan to continue to invest across our data, analytics, operations, and customer success capabilities to build the infrastructure that supports our go-to-market approach. </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Program Expansion within Existing Customer Base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the ability to grow the share of revenue that we generate from existing customers is a key driver of long-term growth. We have seen significant expansion over time as existing customers and channel partners have added our newer Diabetes, Hypertension, and Cholesterol programs, and we remain focused on driving multi-program adoption as a key growth lever. We believe there is still opportunity to continue multi-condition expansion.</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Member Enrollment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Having served nearly two million members since launch, there is still significant opportunity to enroll more members. We are focused on achieving higher enrollment rates by helping more customers and channel partners adopt our enrollment outreach best practices, including enabling Omada-led enrollment outreach campaigns, implementing strategies to reach individuals with known risk, and evaluating new enrollment strategies and channels.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Member Engagement and Outcomes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Member engagement in our programs and the clinical outcomes and cost savings of our offerings affect the market acceptance and adoption of our programs. Most of our customers pay fees to us based on member enrollment and/or engagement with our programs, and our contracts generally may provide that we are obligated to repay a portion of our fees if our programs fail to deliver certain member engagement targets, clinical outcomes, or cost savings. We are focused on continuing to provide engaging content and tools, foster meaningful personal connections, and demonstrate positive clinical outcomes for our members.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Investments in Growth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to focus on long-term growth of our core business, while selectively investing in areas that enhance our platform, programs, or operations. Though our focus remains on continued progress in our current care areas, we monitor the needs of our customers and channel partners, and we believe we are well positioned to respond to their requirements organically or, where appropriate, to add new capabilities through partnerships and potential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Metric</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metric to help us evaluate our business, measure our performance, identify trends affecting our business, formulate business plans, and make strategic decisions.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Total Members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member is a person who is enrolled in one of our virtual care programs and generated a billing event in the preceding 12 months. We believe growth in the number of members is a key indicator of the performance of our business for both investors and management as we monitor the performance of our business, as members primarily drive services revenue. The number of members depends, in part, on our ability to successfully market our services to new customers and channel partners, our ability to sell additional programs to existing customers and channel partners, and our ability to promote awareness of our programs among covered individuals and to encourage their enrollment.</w:t>
      </w:r>
    </w:p>
    <w:tbl>
      <w:tblPr>
        <w:tblW w:w="4805" w:type="dxa"/>
        <w:jc w:val="left"/>
        <w:tblInd w:w="0" w:type="dxa"/>
        <w:tblLayout w:type="fixed"/>
        <w:tblCellMar>
          <w:top w:w="28" w:type="dxa"/>
          <w:left w:w="28" w:type="dxa"/>
          <w:bottom w:w="28" w:type="dxa"/>
          <w:right w:w="28" w:type="dxa"/>
        </w:tblCellMar>
      </w:tblPr>
      <w:tblGrid>
        <w:gridCol w:w="488"/>
        <w:gridCol w:w="429"/>
        <w:gridCol w:w="432"/>
        <w:gridCol w:w="259"/>
        <w:gridCol w:w="259"/>
        <w:gridCol w:w="263"/>
        <w:gridCol w:w="109"/>
        <w:gridCol w:w="109"/>
        <w:gridCol w:w="109"/>
        <w:gridCol w:w="413"/>
        <w:gridCol w:w="413"/>
        <w:gridCol w:w="156"/>
        <w:gridCol w:w="109"/>
        <w:gridCol w:w="109"/>
        <w:gridCol w:w="109"/>
        <w:gridCol w:w="413"/>
        <w:gridCol w:w="413"/>
        <w:gridCol w:w="213"/>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services revenue from our customers by providing access to our virtual care programs in which our Care Teams implement clinically validated behavior change protocols for individuals living with prediabetes and weight management issues, diabetes, and hypertension (collectively referred to as “cardiometabolic” conditions) and MSK conditions over the term of the program. Our MSK program generally includes a fixed, upfront consultation fee and an additional fee for members that opt in to a physical therapist-guided treatment plan. We use a number of pricing models for our cardiometabolic programs. In general, our legacy pricing models for cardiometabolic programs may include a fixed, upfront enrollment fee and include variable monthly fees which are based on either outcomes or milestones for the respective member service period. In general, our latest pricing models for cardiometabolic programs are based on the respective member’s level of activity in the program. Each month, members that have completed a minimum number of qualifying activities during an agreed-upon backward-looking measurement period are considered billable members. The length of the measurement period and the qualifying activities may vary based on negotiations with customers and channel partners. Most activity measurement periods are defined as the preceding three or six months, and in most cases, members are considered active if they complete three activities during that period, such as logging in or interacting with the Omada mobile app, sending messages to Omada Care Team members, or recording metrics such as weight, blood pressure, or blood glucose values.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price for Omada for Diabetes and Omada for Hypertension is generally higher than the price for Omada for Prevention &amp; Weight Health to account for the higher costs of delivering those programs, including additional included devices and increased Care Team support appropriate for those conditions. We typically bill for our services monthly, in arrears. We recognize a portion of revenue upfront upon hardware delivery or initial consultation and the remaining revenue over the period members have access to our virtual care programs. In general, among our members in cardiometabolic programs, members in Omada for Diabetes and Omada for Hypertension remain active and enrolled in our programs for longer periods than members in Omada for Prevention &amp; Weight Health. In addition to the overall number of members, our quarterly revenues reflect the mix of members enrolled in our various programs and the pricing models for these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from or through our top five health plan and PBM partners, including any sales to these entities as customers and sales through these entities as channel partners, represented 77%, 69% and 68% for the years ended December 31, 2025, 2024, and 2023, respectively.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Significant customers and channel partners are those which represent 10% or more of the accounts receivable balance or revenue for the periods presented. Customers and channel partners that accounted for 10% or more of accounts receivable, net as of December 31, 2025 and December 31, 2024, or 10% or more of revenue as of and for the years ended December 31, 2025, 2024 and 2023 were as follows:</w:t>
      </w:r>
    </w:p>
    <w:tbl>
      <w:tblPr>
        <w:tblW w:w="5560" w:type="dxa"/>
        <w:jc w:val="left"/>
        <w:tblInd w:w="0" w:type="dxa"/>
        <w:tblLayout w:type="fixed"/>
        <w:tblCellMar>
          <w:top w:w="28" w:type="dxa"/>
          <w:left w:w="28" w:type="dxa"/>
          <w:bottom w:w="28" w:type="dxa"/>
          <w:right w:w="28" w:type="dxa"/>
        </w:tblCellMar>
      </w:tblPr>
      <w:tblGrid>
        <w:gridCol w:w="315"/>
        <w:gridCol w:w="277"/>
        <w:gridCol w:w="278"/>
        <w:gridCol w:w="159"/>
        <w:gridCol w:w="159"/>
        <w:gridCol w:w="395"/>
        <w:gridCol w:w="159"/>
        <w:gridCol w:w="159"/>
        <w:gridCol w:w="159"/>
        <w:gridCol w:w="159"/>
        <w:gridCol w:w="159"/>
        <w:gridCol w:w="395"/>
        <w:gridCol w:w="109"/>
        <w:gridCol w:w="109"/>
        <w:gridCol w:w="109"/>
        <w:gridCol w:w="158"/>
        <w:gridCol w:w="158"/>
        <w:gridCol w:w="271"/>
        <w:gridCol w:w="109"/>
        <w:gridCol w:w="109"/>
        <w:gridCol w:w="109"/>
        <w:gridCol w:w="158"/>
        <w:gridCol w:w="158"/>
        <w:gridCol w:w="271"/>
        <w:gridCol w:w="109"/>
        <w:gridCol w:w="109"/>
        <w:gridCol w:w="109"/>
        <w:gridCol w:w="158"/>
        <w:gridCol w:w="158"/>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A</w:t>
            </w:r>
          </w:p>
        </w:tc>
        <w:tc>
          <w:tcPr>
            <w:tcW w:w="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B</w:t>
            </w:r>
          </w:p>
        </w:tc>
        <w:tc>
          <w:tcPr>
            <w:tcW w:w="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of these health plans or PBMs are affiliates of The Cigna Group.</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expenses that are directly related to or closely correlated to the delivery of our virtual care programs and member support. Cost of services revenue include salaries, share-based compensation expense, bonuses, benefits, travel, and meals and entertainment expenses (collectively, “personnel costs”), data server management expense, hosting costs, connectivity fees for cellular devices, and the amortization of capitalized internal-use software and developed technology. Cost of hardware revenue includes equipment costs, shipping and logistics costs, and provisions for excess and obsolete inventory. Most of the devices delivered in connection with our programs are manufactured in China and may be manufactured in other international markets in the future, and we expect that the prices of these devices may increase as a result of recent tariffs and any new or increased tariffs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is total revenue less total cost of revenue. Gross margin is gross profit expressed as a percentage of revenue. Gross profit and gross margin have been and will continue to be affected by various factors, including the acquisition of new customers and channel partners, renewals of existing agreements, sales of additional programs to our existing customers, the mix of programs covered by our customers and channel partners and members enrolled in those programs, the timing of members enrolling in our programs, the costs associated with third-party data server management and third-party hosting services, costs of hardware, economies of scale, and the extent to which we introduce new features or functionality or expand our Care Teams and hire other additional personnel.</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(“R&amp;D”), sales and marketing, and general and administrative expenses. Personnel costs are the most significant component of operating expenses. Operating expenses also include professional and consulting services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R&amp;D expenses support our efforts to add new features and content to our programs and to ensure the reliability and scalability of our virtual care platform. R&amp;D expenses consist primarily of personnel costs and the allocation of shared general corporate expenses primarily related to technology. R&amp;D costs are expensed as incurred.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make continued investments in our virtual care platform in connection with our future growth.</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 costs, commissions for our sales and marketing teams, administrative and marketing fees that we pay to channel partners for their services, promotional marketing materials, and advertising costs. Sales and marketing expenses also include costs for third-party consulting services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sales and marketing teams are responsible for growing and maintaining our relationships with customers and channel partners and increasing enrollments.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 costs for our finance, legal, compliance, human resources, and administrative teams, software and infrastructure costs, professional fees,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absolute dollars as we grow our operations and incur additional expenses associated with operating as a public company. Increased expenses as a result of operating as a public company include expenses necessary to comply with the rules and regulations applicable to companies listed on a national securities exchange and related compliance and reporting obligations pursuant to the rules and regulations of the SEC, as well as higher expenses for general and director and officer insurance, investor relations, and other third-party consulting services.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income earned on our cash and cash equivalents.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costs associated with our debt financing, including amortization of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classify our redeemable convertible preferred stock warrants and common stock warrants as liabilities on our consolidated balance sheets. We remeasure the warrant liabilities to fair value at each reporting date and recognize changes in the fair value of the warrant liabilities in our consolidated statements of operations. We adjusted the warrant liabilities for changes in fair value until the exercise of the redeemable convertible preferred stock warrants and common stock warrants.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Loss on Debt Extinguishment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loss on debt extinguishment for the year ended December 31, 2025 consisted primarily of unamortized debt issuance costs and prepayment fees related to that certain credit agreement and guaranty, dated as of June 2, 2023, by and among us, the subsidiary guarantors and lenders from time to time party thereto, and MidCap Funding IV Trust (“MidCap”), described in the subsection titled “Liquidity and Capital Resources.”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U.S. federal, state, and local jurisdictions in which we conduct business. We maintain a full valuation allowance on our federal and state deferred tax assets, as management has concluded that it is not more likely than not that the deferred tax assets will be realized, primarily due to cumulative losses incurred since inception and the lack of sufficient objectivity verifiable postive evidence of future taxable income.</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We account for uncertain tax positions in accordance with Accounting Standards Codification (“ASC”) 740-10, </w:t>
      </w:r>
      <w:r>
        <w:rPr>
          <w:rFonts w:ascii="Times New Roman;serif" w:hAnsi="Times New Roman;serif"/>
          <w:b w:val="false"/>
          <w:i/>
          <w:color w:val="000000"/>
          <w:sz w:val="20"/>
        </w:rPr>
        <w:t>Accounting for Uncertainty in Income Taxes</w:t>
      </w:r>
      <w:r>
        <w:rPr>
          <w:rFonts w:ascii="Times New Roman;serif" w:hAnsi="Times New Roman;serif"/>
          <w:b w:val="false"/>
          <w:color w:val="000000"/>
          <w:sz w:val="20"/>
        </w:rPr>
        <w:t>. We recognize the tax effects of an uncertain tax position only if it is more likely than not to be sustained based solely on its technical merits as of the reporting date, and only in an amount more likely than not to be sustained upon review by relevant taxing authorities. Interest and penalties related to uncertain tax positions are classified in the consolidated financial statements as income tax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remains subject to examination by U,S. federal and state taxing authorities for all tax years since inception, as net operating loss carryforwards remain subject to adjustment.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(the “OBBBA”) was enacted in the U.S. The OBBBA includes significant provisions, including changes to the treatment of research and development expenditures under section 174, modifications to the business interest expense limitation, and updates to depreciation rules among others. Certain provisions are effective beginning in 2025, while others are phased in through 2027.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OBBBA and newly enacted Section 174A, taxpayers may accelerate the recovery of previously capitalized domestic research and development expenditures that remained unamortized as of 2025, either entirely in 2025 or ratably over 2025 and 2026. The Company has elected to recover these costs ratably over 2025 and 2026 and recognized a deduction of approximately $36.1 million in 2025 to such expenditures.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state jurisdictions have not conformed to the OBBBA or have adopted different approaches to the treatment of Section 174 expenditures. The Company has considered the impact of state conformity in material jurisdictions for purposes of determining its income tax provision. The ultimate tax treatment of these items will be finalized upon the filing of the Company’s income tax returns.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provisions of the OBBBA, including changes to bonus depreciation and international tax rules, did not have a material impact on the Company’s consolidated financial statements due to taxable losses, a full valuation allowance on deferred tax assets, or inapplicability to the Company’s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includes a comparison of our results of operations for the year ended December 31, 2025 to the year ended December 31, 2024, unless otherwise stated. For a comparison of the results of operations for the year ended December 31, 2024 to the year ended December 2023, see the section titled “Management’s Discussion and Analysis of Financial Condition and Results of Operations” in our prospectus dated June 5, 2025, filed with the SEC on June 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w:t>
      </w:r>
    </w:p>
    <w:tbl>
      <w:tblPr>
        <w:tblW w:w="8194" w:type="dxa"/>
        <w:jc w:val="left"/>
        <w:tblInd w:w="0" w:type="dxa"/>
        <w:tblLayout w:type="fixed"/>
        <w:tblCellMar>
          <w:top w:w="28" w:type="dxa"/>
          <w:left w:w="28" w:type="dxa"/>
          <w:bottom w:w="28" w:type="dxa"/>
          <w:right w:w="28" w:type="dxa"/>
        </w:tblCellMar>
      </w:tblPr>
      <w:tblGrid>
        <w:gridCol w:w="1246"/>
        <w:gridCol w:w="1097"/>
        <w:gridCol w:w="1107"/>
        <w:gridCol w:w="211"/>
        <w:gridCol w:w="826"/>
        <w:gridCol w:w="109"/>
        <w:gridCol w:w="109"/>
        <w:gridCol w:w="109"/>
        <w:gridCol w:w="109"/>
        <w:gridCol w:w="211"/>
        <w:gridCol w:w="826"/>
        <w:gridCol w:w="109"/>
        <w:gridCol w:w="109"/>
        <w:gridCol w:w="109"/>
        <w:gridCol w:w="109"/>
        <w:gridCol w:w="211"/>
        <w:gridCol w:w="826"/>
        <w:gridCol w:w="761"/>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4"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114,531 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8,253 </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122,784 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Services</w:t>
            </w:r>
            <w:r>
              <w:rPr>
                <w:rFonts w:ascii="Times New Roman;serif" w:hAnsi="Times New Roman;serif"/>
                <w:b w:val="false"/>
                <w:color w:val="000000"/>
                <w:sz w:val="13"/>
              </w:rPr>
              <w:t>(1)(2)(3)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36,735 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16,078 </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52,813 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69,971 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33,738 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66,249 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35,981 </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135,968 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(65,997)</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5,775 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(67,511)</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(67,511)</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share-based compensation expense as follows:</w:t>
      </w:r>
    </w:p>
    <w:tbl>
      <w:tblPr>
        <w:tblW w:w="7046" w:type="dxa"/>
        <w:jc w:val="left"/>
        <w:tblInd w:w="0" w:type="dxa"/>
        <w:tblLayout w:type="fixed"/>
        <w:tblCellMar>
          <w:top w:w="28" w:type="dxa"/>
          <w:left w:w="28" w:type="dxa"/>
          <w:bottom w:w="28" w:type="dxa"/>
          <w:right w:w="28" w:type="dxa"/>
        </w:tblCellMar>
      </w:tblPr>
      <w:tblGrid>
        <w:gridCol w:w="1242"/>
        <w:gridCol w:w="1093"/>
        <w:gridCol w:w="1099"/>
        <w:gridCol w:w="211"/>
        <w:gridCol w:w="721"/>
        <w:gridCol w:w="109"/>
        <w:gridCol w:w="109"/>
        <w:gridCol w:w="109"/>
        <w:gridCol w:w="109"/>
        <w:gridCol w:w="211"/>
        <w:gridCol w:w="616"/>
        <w:gridCol w:w="109"/>
        <w:gridCol w:w="109"/>
        <w:gridCol w:w="109"/>
        <w:gridCol w:w="109"/>
        <w:gridCol w:w="211"/>
        <w:gridCol w:w="61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amortization of intangible assets as follows:</w:t>
      </w:r>
    </w:p>
    <w:tbl>
      <w:tblPr>
        <w:tblW w:w="7113" w:type="dxa"/>
        <w:jc w:val="left"/>
        <w:tblInd w:w="0" w:type="dxa"/>
        <w:tblLayout w:type="fixed"/>
        <w:tblCellMar>
          <w:top w:w="28" w:type="dxa"/>
          <w:left w:w="28" w:type="dxa"/>
          <w:bottom w:w="28" w:type="dxa"/>
          <w:right w:w="28" w:type="dxa"/>
        </w:tblCellMar>
      </w:tblPr>
      <w:tblGrid>
        <w:gridCol w:w="1172"/>
        <w:gridCol w:w="1032"/>
        <w:gridCol w:w="1036"/>
        <w:gridCol w:w="211"/>
        <w:gridCol w:w="616"/>
        <w:gridCol w:w="109"/>
        <w:gridCol w:w="109"/>
        <w:gridCol w:w="109"/>
        <w:gridCol w:w="109"/>
        <w:gridCol w:w="211"/>
        <w:gridCol w:w="616"/>
        <w:gridCol w:w="109"/>
        <w:gridCol w:w="109"/>
        <w:gridCol w:w="109"/>
        <w:gridCol w:w="109"/>
        <w:gridCol w:w="211"/>
        <w:gridCol w:w="616"/>
        <w:gridCol w:w="520"/>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389"/>
              <w:jc w:val="left"/>
              <w:rPr>
                <w:sz w:val="4"/>
                <w:szCs w:val="4"/>
              </w:rPr>
            </w:pPr>
            <w:r>
              <w:rPr>
                <w:sz w:val="4"/>
                <w:szCs w:val="4"/>
              </w:rPr>
            </w:r>
          </w:p>
        </w:tc>
      </w:tr>
      <w:tr>
        <w:trPr/>
        <w:tc>
          <w:tcPr>
            <w:tcW w:w="32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(3)Includes depreciation and amortization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tbl>
      <w:tblPr>
        <w:tblW w:w="6687" w:type="dxa"/>
        <w:jc w:val="left"/>
        <w:tblInd w:w="0" w:type="dxa"/>
        <w:tblLayout w:type="fixed"/>
        <w:tblCellMar>
          <w:top w:w="28" w:type="dxa"/>
          <w:left w:w="28" w:type="dxa"/>
          <w:bottom w:w="28" w:type="dxa"/>
          <w:right w:w="28" w:type="dxa"/>
        </w:tblCellMar>
      </w:tblPr>
      <w:tblGrid>
        <w:gridCol w:w="1150"/>
        <w:gridCol w:w="1012"/>
        <w:gridCol w:w="1018"/>
        <w:gridCol w:w="211"/>
        <w:gridCol w:w="616"/>
        <w:gridCol w:w="109"/>
        <w:gridCol w:w="109"/>
        <w:gridCol w:w="109"/>
        <w:gridCol w:w="109"/>
        <w:gridCol w:w="211"/>
        <w:gridCol w:w="616"/>
        <w:gridCol w:w="109"/>
        <w:gridCol w:w="109"/>
        <w:gridCol w:w="109"/>
        <w:gridCol w:w="109"/>
        <w:gridCol w:w="211"/>
        <w:gridCol w:w="61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depreciation and amortization</w:t>
            </w:r>
            <w:r>
              <w:rPr>
                <w:rFonts w:ascii="Times New Roman;serif" w:hAnsi="Times New Roman;serif"/>
                <w:b w:val="false"/>
                <w:color w:val="000000"/>
                <w:sz w:val="13"/>
              </w:rPr>
              <w:t>(i)</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(i)Depreciation and amortization includes depreciation of property and equipment and amortization of capitalized internal-use software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Percentage of Revenue Data</w:t>
      </w:r>
    </w:p>
    <w:tbl>
      <w:tblPr>
        <w:tblW w:w="6578" w:type="dxa"/>
        <w:jc w:val="left"/>
        <w:tblInd w:w="0" w:type="dxa"/>
        <w:tblLayout w:type="fixed"/>
        <w:tblCellMar>
          <w:top w:w="28" w:type="dxa"/>
          <w:left w:w="28" w:type="dxa"/>
          <w:bottom w:w="28" w:type="dxa"/>
          <w:right w:w="28" w:type="dxa"/>
        </w:tblCellMar>
      </w:tblPr>
      <w:tblGrid>
        <w:gridCol w:w="1246"/>
        <w:gridCol w:w="1098"/>
        <w:gridCol w:w="1106"/>
        <w:gridCol w:w="232"/>
        <w:gridCol w:w="234"/>
        <w:gridCol w:w="271"/>
        <w:gridCol w:w="109"/>
        <w:gridCol w:w="109"/>
        <w:gridCol w:w="109"/>
        <w:gridCol w:w="232"/>
        <w:gridCol w:w="234"/>
        <w:gridCol w:w="271"/>
        <w:gridCol w:w="109"/>
        <w:gridCol w:w="109"/>
        <w:gridCol w:w="109"/>
        <w:gridCol w:w="232"/>
        <w:gridCol w:w="234"/>
        <w:gridCol w:w="534"/>
      </w:tblGrid>
      <w:tr>
        <w:trPr/>
        <w:tc>
          <w:tcPr>
            <w:tcW w:w="12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34" w:type="dxa"/>
            <w:tcBorders/>
            <w:shd w:fill="CCEE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 net</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34" w:type="dxa"/>
            <w:tcBorders/>
            <w:shd w:fill="CCEE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other expense,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w:t>
      </w:r>
    </w:p>
    <w:tbl>
      <w:tblPr>
        <w:tblW w:w="6475" w:type="dxa"/>
        <w:jc w:val="left"/>
        <w:tblInd w:w="0" w:type="dxa"/>
        <w:tblLayout w:type="fixed"/>
        <w:tblCellMar>
          <w:top w:w="28" w:type="dxa"/>
          <w:left w:w="28" w:type="dxa"/>
          <w:bottom w:w="28" w:type="dxa"/>
          <w:right w:w="28" w:type="dxa"/>
        </w:tblCellMar>
      </w:tblPr>
      <w:tblGrid>
        <w:gridCol w:w="450"/>
        <w:gridCol w:w="395"/>
        <w:gridCol w:w="40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6"/>
        <w:gridCol w:w="186"/>
        <w:gridCol w:w="54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revenue increased $90.4 million, or 53%, for the year ended December 31, 2025 compared to the year ended December 31,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Services revenue increased by $83.3 million, or 53%, for the year ended December 31, 2025 compared to the year ended December 31, 2024, primarily driven by an increase of $82.0 million related to growth in total members, with the average number of total members during the year ended December 31, 2025 increasing by 52% compared to the average for the year ended December 31, 2024 and an increase of $1.5 million driven by higher average fees per member.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revenue increased by $7.2 million, or 60%, for the year ended December 31, 2025 compared to the year ended December 31, 2024, primarily driven by a 55% increase in total members, reflecting new members enrolled in our programs compared to the prior-year period, which directly drove the number of devices that we delivered.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6849" w:type="dxa"/>
        <w:jc w:val="left"/>
        <w:tblInd w:w="0" w:type="dxa"/>
        <w:tblLayout w:type="fixed"/>
        <w:tblCellMar>
          <w:top w:w="28" w:type="dxa"/>
          <w:left w:w="28" w:type="dxa"/>
          <w:bottom w:w="28" w:type="dxa"/>
          <w:right w:w="28" w:type="dxa"/>
        </w:tblCellMar>
      </w:tblPr>
      <w:tblGrid>
        <w:gridCol w:w="661"/>
        <w:gridCol w:w="580"/>
        <w:gridCol w:w="58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6"/>
        <w:gridCol w:w="186"/>
        <w:gridCol w:w="544"/>
      </w:tblGrid>
      <w:tr>
        <w:trPr/>
        <w:tc>
          <w:tcPr>
            <w:tcW w:w="6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cost of revenue increased by $22.3 million, or 33%, for the year ended December 31, 2025 compared to the year ended December 31,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services revenue increased $9.3 million, or 22%, for the year ended December 31, 2025 compared to the year ended December 31, 2024, primarily driven by a $7.4 million increase in personnel costs related in part to an increase in headcount, a $0.8 million increase in technology support and product costs to support the growth in our total members, and a $0.8 million increase in amortization of capitalized internal-use software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hardware revenue increased by $13.0 million, or 53%, for the year ended December 31, 2025 compared to the year ended December 31, 2024, primarily driven by a 55% increase in total members, reflecting new members enrolled in our programs compared to the prior-year period, which drove new devices, supplies, fulfillment costs, which include tariffs, compared to the prior period.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6739" w:type="dxa"/>
        <w:jc w:val="left"/>
        <w:tblInd w:w="0" w:type="dxa"/>
        <w:tblLayout w:type="fixed"/>
        <w:tblCellMar>
          <w:top w:w="28" w:type="dxa"/>
          <w:left w:w="28" w:type="dxa"/>
          <w:bottom w:w="28" w:type="dxa"/>
          <w:right w:w="28" w:type="dxa"/>
        </w:tblCellMar>
      </w:tblPr>
      <w:tblGrid>
        <w:gridCol w:w="429"/>
        <w:gridCol w:w="376"/>
        <w:gridCol w:w="380"/>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6"/>
        <w:gridCol w:w="186"/>
        <w:gridCol w:w="544"/>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ppt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increased by $68.1 million, or 66%, for the year ended December 31, 2025 compared to the year ended December 31, 2024, driven by a 55% increase in total members and a decrease in personnel costs per total member needed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support enrolled members as a result of Care Team efficiency initiatives, as well as the expanded use of supporting technologies, such as tools for Care Team message support.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margin expanded by 5.1 percentage points for the year ended December 31, 2025 compared to the year ended December 31, 2024. The expansion of gross margin was primarily driven by lower personnel costs per total member needed to support enrolled members as a result of Care Team efficiency initiatives, as well as the expanded use of supporting technologies, such as tools for Care Team message support.</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224"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ending December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$4.8 million, or 13%, for the year ended December 31, 2025 compared to the year ended December 31, 2024, primarily driven by a $3.3 million increase in personnel costs related primarily to an increase in headcount and stock-based compensation per employee and a $1.3 million increase in technology infrastructure expenses, professional and outside services costs.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6774" w:type="dxa"/>
        <w:jc w:val="left"/>
        <w:tblInd w:w="0" w:type="dxa"/>
        <w:tblLayout w:type="fixed"/>
        <w:tblCellMar>
          <w:top w:w="28" w:type="dxa"/>
          <w:left w:w="28" w:type="dxa"/>
          <w:bottom w:w="28" w:type="dxa"/>
          <w:right w:w="28" w:type="dxa"/>
        </w:tblCellMar>
      </w:tblPr>
      <w:tblGrid>
        <w:gridCol w:w="634"/>
        <w:gridCol w:w="558"/>
        <w:gridCol w:w="56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$22.0 million, or 32%, for the year ended December 31, 2025 compared to the year ended December 31, 2024, primarily driven by a $11.9 million increase in administrative and marketing fees that we paid to channel partners for their services in support of our member enrollments, a $6.5 million increase in personnel costs related primarily to an increase in headcount and increases in compensation expenses per employee, and a $3.9 million increase in other marketing programs and sales commissions, offset by a $0.2 million decrease in professional and outside services.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7270" w:type="dxa"/>
        <w:jc w:val="left"/>
        <w:tblInd w:w="0" w:type="dxa"/>
        <w:tblLayout w:type="fixed"/>
        <w:tblCellMar>
          <w:top w:w="28" w:type="dxa"/>
          <w:left w:w="28" w:type="dxa"/>
          <w:bottom w:w="28" w:type="dxa"/>
          <w:right w:w="28" w:type="dxa"/>
        </w:tblCellMar>
      </w:tblPr>
      <w:tblGrid>
        <w:gridCol w:w="853"/>
        <w:gridCol w:w="749"/>
        <w:gridCol w:w="75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6"/>
        <w:gridCol w:w="186"/>
        <w:gridCol w:w="54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$9.6 million, or 23%, for the year ended December 31, 2025 compared to the year ended December 31, 2024, primarily driven by a $5.8 million increase in personnel costs related primarily to an increase in headcount, increases in compensation expenses per employee, and increased travel and entertainment costs associated with our IPO, a $1.7 million increase in local taxes, a $1.2 million increase in technology infrastructure expenses, a $0.9 million increase in business insurance expenses and other subscription expenses, a $0.7 million increase in professional and outside services costs related to preparing for public company operations, offset by a $0.6 million decrease in bad debt expense and a $0.3 million decrease in facilities expense due to the expiration of our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6298" w:type="dxa"/>
        <w:jc w:val="left"/>
        <w:tblInd w:w="0" w:type="dxa"/>
        <w:tblLayout w:type="fixed"/>
        <w:tblCellMar>
          <w:top w:w="28" w:type="dxa"/>
          <w:left w:w="28" w:type="dxa"/>
          <w:bottom w:w="28" w:type="dxa"/>
          <w:right w:w="28" w:type="dxa"/>
        </w:tblCellMar>
      </w:tblPr>
      <w:tblGrid>
        <w:gridCol w:w="527"/>
        <w:gridCol w:w="463"/>
        <w:gridCol w:w="464"/>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54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$2.0 million, or 44%, for the year ended December 31, 2025 compared to the year ended December 31, 2024 primarily due to the extinguishment of our MidCap Term Facility and MidCap Revolving Facility on July 31, 2025.</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tbl>
      <w:tblPr>
        <w:tblW w:w="5968" w:type="dxa"/>
        <w:jc w:val="left"/>
        <w:tblInd w:w="0" w:type="dxa"/>
        <w:tblLayout w:type="fixed"/>
        <w:tblCellMar>
          <w:top w:w="28" w:type="dxa"/>
          <w:left w:w="28" w:type="dxa"/>
          <w:bottom w:w="28" w:type="dxa"/>
          <w:right w:w="28" w:type="dxa"/>
        </w:tblCellMar>
      </w:tblPr>
      <w:tblGrid>
        <w:gridCol w:w="494"/>
        <w:gridCol w:w="433"/>
        <w:gridCol w:w="437"/>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0"/>
        <w:gridCol w:w="211"/>
        <w:gridCol w:w="54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$4.5 million, or 559%, for the year ended December 31, 2025 compared to the year ended December 31, 2024, primarily driven by interest earned from the increase in cash and cash equivalents from IPO proceeds.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Loss on Debt Extinguishment</w:t>
      </w:r>
    </w:p>
    <w:tbl>
      <w:tblPr>
        <w:tblW w:w="7169" w:type="dxa"/>
        <w:jc w:val="left"/>
        <w:tblInd w:w="0" w:type="dxa"/>
        <w:tblLayout w:type="fixed"/>
        <w:tblCellMar>
          <w:top w:w="28" w:type="dxa"/>
          <w:left w:w="28" w:type="dxa"/>
          <w:bottom w:w="28" w:type="dxa"/>
          <w:right w:w="28" w:type="dxa"/>
        </w:tblCellMar>
      </w:tblPr>
      <w:tblGrid>
        <w:gridCol w:w="897"/>
        <w:gridCol w:w="787"/>
        <w:gridCol w:w="791"/>
        <w:gridCol w:w="211"/>
        <w:gridCol w:w="691"/>
        <w:gridCol w:w="109"/>
        <w:gridCol w:w="109"/>
        <w:gridCol w:w="109"/>
        <w:gridCol w:w="109"/>
        <w:gridCol w:w="211"/>
        <w:gridCol w:w="406"/>
        <w:gridCol w:w="109"/>
        <w:gridCol w:w="109"/>
        <w:gridCol w:w="109"/>
        <w:gridCol w:w="109"/>
        <w:gridCol w:w="211"/>
        <w:gridCol w:w="691"/>
        <w:gridCol w:w="109"/>
        <w:gridCol w:w="109"/>
        <w:gridCol w:w="109"/>
        <w:gridCol w:w="109"/>
        <w:gridCol w:w="210"/>
        <w:gridCol w:w="211"/>
        <w:gridCol w:w="54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loss on debt extinguishment increased by $2.1 million, or 100%, for the year ended December 31, 2025 compared to the year ended December 31, 2024 due to the extinguishment of our MidCap Term Facility and MidCap Revolving Facility on July 31,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Warrant Liabilities</w:t>
      </w:r>
    </w:p>
    <w:tbl>
      <w:tblPr>
        <w:tblW w:w="8248" w:type="dxa"/>
        <w:jc w:val="left"/>
        <w:tblInd w:w="0" w:type="dxa"/>
        <w:tblLayout w:type="fixed"/>
        <w:tblCellMar>
          <w:top w:w="28" w:type="dxa"/>
          <w:left w:w="28" w:type="dxa"/>
          <w:bottom w:w="28" w:type="dxa"/>
          <w:right w:w="28" w:type="dxa"/>
        </w:tblCellMar>
      </w:tblPr>
      <w:tblGrid>
        <w:gridCol w:w="1248"/>
        <w:gridCol w:w="1099"/>
        <w:gridCol w:w="1103"/>
        <w:gridCol w:w="211"/>
        <w:gridCol w:w="616"/>
        <w:gridCol w:w="109"/>
        <w:gridCol w:w="109"/>
        <w:gridCol w:w="109"/>
        <w:gridCol w:w="109"/>
        <w:gridCol w:w="211"/>
        <w:gridCol w:w="541"/>
        <w:gridCol w:w="109"/>
        <w:gridCol w:w="109"/>
        <w:gridCol w:w="109"/>
        <w:gridCol w:w="109"/>
        <w:gridCol w:w="211"/>
        <w:gridCol w:w="616"/>
        <w:gridCol w:w="109"/>
        <w:gridCol w:w="109"/>
        <w:gridCol w:w="109"/>
        <w:gridCol w:w="109"/>
        <w:gridCol w:w="269"/>
        <w:gridCol w:w="271"/>
        <w:gridCol w:w="54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8" w:type="dxa"/>
            <w:gridSpan w:val="21"/>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warrant liabilities increased by $1.7 million, or 773%, for the year ended December 31, 2025 compared to the year ended December 31, 2024, primarily driven by changes in the stock price, expected stock volatility, risk-free rate, and reduction in time to expiry.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Trends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typically close a higher percentage of sales to new customers, as well as renewals or expansions with existing customers, in the second and third quarters, aligning with benefits enrollment schedules and allowing us to launch our products at the start of the following year. This seasonality generally leads to higher new member enrollment in the first and second quarters, resulting in increased Care Team costs to support the newly enrolled members. These higher new member enrollments also require shipments of new devices to newly enrolled members in the same quarter of enrollment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beginning of the following quarter and increased hardware revenue in those periods. These increased costs result in lower overall gross margins in those quarters and there is typically a decrease in these costs in subsequent quarters. After the effects of these early program costs of new enrollments, increases in the number of members will generally be reflected in increased revenue in subsequent quarters as services revenue is generally recognized in arrears after the provision of our virtual care programs begins.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Obesity and Weight Management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obesity and weight health market is rapidly evolving, with a surge in GLP</w:t>
        <w:noBreakHyphen/>
        <w:t>1 adoption creating a broader spotlight on obesity and cardiometabolic disease more generally. As these medications draw significant attention—and cost—employers and health plans are under increasing pressure to balance access with affordability, making it difficult for many to offer broad GLP</w:t>
        <w:noBreakHyphen/>
        <w:t>1 coverage. In this environment, we believe Omada is well positioned to support customers across a range of coverage strategies: for those that cover GLP</w:t>
        <w:noBreakHyphen/>
        <w:t>1s, our GLP</w:t>
        <w:noBreakHyphen/>
        <w:t>1 companion programs are designed to help enhance medication effectiveness and durability; for those that do not, our proven prevention and weight health program, together with our broader cardiometabolic offerings, provides an evidence</w:t>
        <w:noBreakHyphen/>
        <w:t>based path to improving weight and metabolic health without relying on expensive drugs. As a result, increased focus on GLP</w:t>
        <w:noBreakHyphen/>
        <w:t>1s has contributed to demand for our solutions among both employers that cover these medications and those that do not. In addition, we recently announced the capability to prescribe GLP-1 therapies and other AOM as an extension of our GLP-1 support offerings, reflecting our proactive approach to evolving care models and meeting customer needs, while continuing to innovate on traditional care protocols.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financed our operations primarily through proceeds from issuance of our redeemable convertible preferred stock, debt financing agreements, and cash generated from the sale of our products and services. As of December 31, 2025, our principal sources of liquidity were cash and cash equivalents of $222.0 million and working capital of $197.2 million. Cash and cash equivalents are composed of cash held in sweep accounts, checking accounts, and money market funds. Our principal use of cash is to fund our operations and invest in R&amp;D to support our growth.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generated significant losses from operations and negative cash flows from operating activities in the past, as reflected in our accumulated deficit of $456.7 million as of December 31, 2025. We believe that our current cash and cash equivalents will be sufficient to fund our operations for at least the next 12 months. Our future capital requirements, however, will depend on many factors, including our growth rate, the timing and extent of our sales and marketing and R&amp;D expenditures, the continuing market acceptance of our products and services,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on acceptable terms, our business, results of operations, and financial condition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2023, we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On March 7, 2025, we entered into an amendment to the MidCap Credit Agreement which, among other things, (i) extended the availability of the Second Tranche until December 31, 2025 and (ii) modified the Revenue Condition to require trailing 12-month revenue of $165.0 million if the Second Tranche were to be advanced during the first fiscal quarter of 2025, $170.0 million if the Second Tranche were to be advanced during the second fiscal quarter of 2025, $175.0 million if the Second Tranche were to be advanced during the third fiscal quarter of 2025, and $180.0 million if the Second Tranche were to be advanced during the fourth fiscal quarter of 2025. Upon the initial closing date of the MidCap Credit Agreement, we drew down on $30.0 million of the MidCap Term Facility and used a portion of the proceeds to repay the outstanding principal balance (including prepayment premium) and accrued interest on a pre-existing credit facility. The MidCap Term Facility was interest-only for 48 months. At the end of the initial interest-only period, we could elect to extend the interest-only period an additional 12 months if we met a certain trailing 12-month revenue level (the “Minimum Net Revenue”) and no event of default had occurred and was continuing. The MidCap Credit Agreement also included a revolving line of credit facility (the “MidCap Revolving Facility”) allowing for up to $20.0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revolving borrowings. The availability of the MidCap Revolving Facility was calculated as a percentage of our outstanding accounts receivable and inventory balances (“Availability”). We were required to maintain a minimum drawn balance on the MidCap Revolving Facility of no less than 20% of Availability, or we would have been required to pay a fee equal to the MidCap Revolving Facility interest rate on the difference between the amount of revolving loans drawn and 20% of Availability. Upon the initial closing date of the MidCap Credit Agreement, we drew $1.0 million on the MidCap Revolving Facility. The maturity date of the MidCap Term Facility and the MidCap Revolving Facility was June 1, 2028. As of December 31, 2025, the outstanding balance on the MidCap Term Facility and MidCap Revolving Facility was fully repaid.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was charged on any outstanding principal of the MidCap Term Facility at the sum of the one-month forward-looking term SOFR rate plus 0.10% (“Adjusted SOFR”), plus 7.00%, subject to a floor of 2.50%. Interest on the MidCap Revolving Facility was charged at the sum of Adjusted SOFR plus 4.00%, subject to a floor of 2.50%. Both interest rates were reset monthly. The effective interest rate for the years ended December 31, 2025 and 2024, was 10.0% and 14.3%, respectively, on the MidCap Term Facility, and 8.4% and 12.0%, respectively, on the MidCap Revolving Facility.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MidCap Credit Agreement included customary covenants for a facility of this type, including monthly reporting requirements and, at any time that liquidity was less than 1.50x the outstanding principal balance of the MidCap Term Facility, a financial covenant to maintain minimum trailing 12-month net revenue levels specified in the MidCap Credit Agreement. The MidCap Credit Agreement also contained various covenants that limited our ability to, among other things: sell, transfer, lease, or dispose of our assets subject to certain exclusions; create, incur, assume, guarantee, or assume additional indebtedness, other than certain permitted indebtedness; encumber or permit liens on any of our assets other than certain permitted liens; make restricted payments, including paying cash dividends on, repurchasing or making distributions with respect to any of our capital stock; make specified investments; consolidate, merge with, or acquire any other entity, or sell or otherwise dispose of all or substantially all of our assets; and enter into certain transactions with our affiliates, in each case, subject to certain exceptions, baskets, and thresholds set forth in the MidCap Credit Agreement. As of July 31, 2025, we were in compliance with our financial covenants.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9, 2025, we completed our IPO of 9,085,000 shares of our common stock, which includes the exercise in full by the underwriters of their option to purchase from us 1,185,000 shares of our common stock, at a price to the public of $19.00 per share. The gross proceeds to us from the IPO were $172.6 million and $151.6 million, after deducting $12.0 million underwriting discounts and commissions and $9.0 million estimated offering expenses payable by us. Immediately prior to the closing of the IPO, each outstanding share of our Series A, Series B, Series C, Series C-1, Series D, Series D-1, and Series E redeemable convertible preferred stock, including shares of redeemable convertible preferred stock issued upon the exercise of Series B and Series D redeemable convertible preferred stock warrants, converted into one-third of a share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2025, we used a portion of our IPO proceeds to fully repay outstanding amounts under the MidCap Term Facility and MidCap Revolving Facility with the principal and accrued interest balances of $31.0 million and $0.4 million, respectively. The repayment of the MidCap Term Facility and MidCap Revolving Facility was accounted for as a debt extinguishment. The consideration used to extinguish the MidCap Term Facility and MidCap Revolving Facility and the carrying value of the debt instruments (including unamortized debt issuance costs) resulted in a loss on early extinguishment of debt of $2.1 million included in loss on early extinguishment of debt within our consolidated statements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8291" w:type="dxa"/>
        <w:jc w:val="left"/>
        <w:tblInd w:w="0" w:type="dxa"/>
        <w:tblLayout w:type="fixed"/>
        <w:tblCellMar>
          <w:top w:w="28" w:type="dxa"/>
          <w:left w:w="28" w:type="dxa"/>
          <w:bottom w:w="28" w:type="dxa"/>
          <w:right w:w="28" w:type="dxa"/>
        </w:tblCellMar>
      </w:tblPr>
      <w:tblGrid>
        <w:gridCol w:w="1524"/>
        <w:gridCol w:w="1340"/>
        <w:gridCol w:w="1350"/>
        <w:gridCol w:w="211"/>
        <w:gridCol w:w="826"/>
        <w:gridCol w:w="109"/>
        <w:gridCol w:w="109"/>
        <w:gridCol w:w="109"/>
        <w:gridCol w:w="109"/>
        <w:gridCol w:w="211"/>
        <w:gridCol w:w="796"/>
        <w:gridCol w:w="109"/>
        <w:gridCol w:w="109"/>
        <w:gridCol w:w="109"/>
        <w:gridCol w:w="109"/>
        <w:gridCol w:w="211"/>
        <w:gridCol w:w="79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debt financing arrangements and IPO proceeds.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the year ended December 31, 2025 of $18.3 million was the result of a $12.8 million net loss, adjusted for $27.3 million of non-cash adjustments and $3.7 million of net cash outflow from changes in operating assets and liabilities. The non-cash adjustments consisted primarily of $13.0 million of share-based compensation expense, $5.5 million of depreciation and amortization expense, $3.3 million of amortization of deferred commissions, a $2.1 million increase in loss on debt extinguishment, a $1.5 million increase in the fair value of warrant liabilities, a $1.2 million increase in the provision for credit losses, $0.4 million of amortization of operating lease right-of-use assets, and $0.3 million of amortization of debt issuance costs. The net cash inflow from changes in operating assets and liabilities was primarily the result of a $12.4 million increase in accounts receivable, a $10.6 million increase in accrued expenses and other current liabilities, a $3.5 million increase in deferred commissions, a $1.4 million increase in prepaid and other current assets, a $1.2 million increase in inventory and a $0.4 million decrease in operating lease liabilities, partially offset by a $6.3 million increase in accounts payable, a $5.5 million increase in deferred revenue, and a $0.3 million decrease in other non-current assets.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year ended December 31, 2024 of $34.2 million was the result of a $47.1 million net loss, adjusted for $19.5 million of non-cash adjustments and $6.6 million of net cash outflow from changes in operating assets and liabilities. The non-cash adjustments consisted primarily of $9.4 million in share-based compensation expense, $4.8 million of depreciation and amortization expense, $2.6 million of amortization of deferred commissions, $1.8 million increase in the provision for credit losses, $0.7 million of amortization of operating lease right-of-use assets, and $0.4 million of amortization of debt issuance costs, offset by $0.2 million decrease in fair value of warrants. The net cash outflow from changes in operating assets and liabilities was primarily the result of a $8.8 million increase in accounts receivable, a $6.4 million increase in deferred commissions, a $1.9 million increase in prepaid and other current assets, a $0.8 million decrease in operating lease liabilities, partially offset by a $5.3 million increase in accrued expenses and other current liabilities, a $4.6 million increase in deferred revenue, a $0.4 million increase in accounts payable, a $0.4 million decrease in other non-current assets, a $0.3 million decrease in inventory, and a $0.2 million increase in other non-current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year ended December 31, 2025 of $5.8 million was the result of capitalized internal-use software costs of $4.5 million and purchases of property and equipment of $1.3 million.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year ended December 31, 2024 of $3.9 million was the result of purchases of property and equipment of $0.6 million and capitalized internal-use software costs of $3.3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year ended December 31, 2025 of $133.2 million was the result of $160.5 million of proceeds from the IPO net of underwriting discounts and commissions and $9.4 million of proceeds from the exercise of stock options, partially offset by $31.0 million of repayment of Midcap term facility principal, $4.3 million of payments for offering costs and $1.4 million of payments for debt extinguishment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by financing activities for the year ended December 31, 2024 of $1.2 million was the result of $4.5 million of payments for deferred offering costs, partially offset by $3.3 million of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unconditional purchase commitments primarily consist of technology and cloud services related to our daily business operations. As of December 31, 2025, we had no unconditional purchase commitments due in 2025 and $8.6 million due in 2026 and thereafter. The purchase obligation amounts do not represent the entire anticipated purchases in the future but represent only those items for which we are contractually obligated. The majority of our goods and services are purchased as needed, with no unconditional commitment. For this reason, these amounts do not provide an indication of our expected future cash outflows related to purchases. See Note 7 to our consolidated financial statements included elsewhere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include in our agreements indemnification provisions of varying scope and terms pursuant to which we agree to indemnify customers, channel partners, suppliers, vendors, lessors, business partners, and other parties with respect to certain matters, including, but not limited to, losses arising out of the breach of such agreements, services to be provided by us, or from intellectual property infringement claims made by third parties. The term of these indemnification provisions generally survive the termination of the agreements indefinitely. The maximum potential amount of future payments we could be required to make under these arrangements is not determinable. No demands have ever been made upon us to provide indemnification under such agreements, and there are no claims under those indemnification terms that we are aware of that could have a material effect on our consolidated balance sheets, consolidated statements of operations and comprehensive loss, or consolidated statements of cash flows. As a result, we believe the fair value of these agreements is minimal.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have entered into separate indemnification agreements with our directors and certain officers and other employees that require us, among other things, to indemnify them against certain liabilities that may arise by reason of their status or service as directors, officers,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interim financial statements, with correspondingly reduced “Management’s Discussion and Analysis of Financial Condition and Results of Operations” disclosure in this Form 10-K;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Form 10-K.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consolidated financial statements may not be comparable to those of other public companies that comply with new or revised accounting pronouncements as of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company effective dates. We may choose to early adopt any new or revised accounting standards whenever such early adoption is permitted for private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the related notes thereto included elsewhere in this Form 10-K are prepared in accordance with GAAP. The preparation of consolidated financial statements in accordance with GAAP requires us to make certain estimates, judgments, and assumptions that affect the reported amounts of assets and liabilities and the related disclosures as of the date of the financial statements, as well as reported amounts of revenue and expenses during the period presented. We base our estimates on historical experience and on various other assumptions that we believe to be reasonable under the circumstances. Actual results could differ significantly from our estimates. We believe that of our significant accounting policies, which are described in Note 2 to our consolidated financial statements included in Part II, Item 8 of this Annual Report on Form 10-K, the following accounting policies involve a greater degree of judgment and complexity. Accordingly, these are the policies we believe are the most critical to aid in fully understanding and evaluating our consolidated financial condition, results of operations, and cash flows.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by providing access to our virtual care programs to our customers’ members. In our virtual care programs, our Care Teams implement clinically validated behavior change protocols over the term of the program for individuals living with chronic conditions, such as cardiometabolic conditions, or living with MSK conditions. Cardiometabolic programs are also supported by one or more connected third-party devices, which are provided to the members upon enrollment in the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or as, the performance obligation is satisfied by transferring the control of the promised service to a customer. We recognize a portion of revenue upfront upon hardware delivery and the remaining revenue over the period members have access to our virtual care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customers are business entities, such as health plans and self-insured employers, that have contracted with us to offer our virtual care programs to their covered lives. Covered lives, such as employees or their covered dependents, that are enrolled in an Omada program are referred to as members. We generate revenue based on the enrollments of our customers’ members and their participation in our virtual care programs. We account for each member enrollment as a separate contract under ASC 606. Our agreements typically provide a termination for convenience by either party, with a notice period generally ranging from 30 to 180 days.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to our customers through our direct sales force and through our channel partners. Channel partners include PBMs and health plans that have commercial relationships with our customers. Pursuant to our agreements with channel partners, some channel partners receive an administrative or marketing fee for their services, and we engage directly with our customers with respect to the provision of our services. Our customer acquisition teams work directly with customers on onboarding and enrollment processes for new members. While health plans are customers for their fully insured populations, they also serve as distribution channels to self-insured entities that contract with us through our relationship with the health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cardiometabolic programs, the transaction price includes monthly fees which are either activity-, outcome-, or milestone-based fees, as applicable, for the respective member service period and may include an upfront member enrollment fee. Variable consideration related to the activity-, outcome-, or milestone-based fees is estimated at contract inception for the non-cancelable term (ranging from 30 to 180 days) to the extent a significant reversal in revenue will not occur. We use the expected value method, primarily relying on our history, to estimate variable consideration, including service-level agreements and performance guarantees based on clinical outcomes. Changes to estimated variable consideration were not material for the periods presented given the relatively short non-cancelable term.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transaction price allocated to services is recognized over time during the non-cancelable term as a stand-ready obligation. Contracts that include upfront enrollment fees generally contain a material right related to the discounted renewal option. The allocated value for that right is recognized upon exercise over the estimated benefit period, typically 12 months.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Monthly service fees earned after the non-cancelable contract term are recognized over the period for which we are obligated to perform services for that member.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the sale of third-party connected devices associated with our services as a separate performance obligation when control transfers, which is generally upon shipment to the member. Associated shipping and handling fees are included in cost of revenue and are recognized as activities to fulfill the promise to transfer the goods.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such observable prices are not available, we determine SSP based on information such as pricing objectives and strategies, taking into consideration market conditions and other factors, including customer size, volume purchased, market and industry conditions, product-specific factors, and historical sales of the deliverables.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apply the practical expedient to not disclose the value of unsatisfied performance obligations for contracts with an original expected length of one year or less.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our future performance obligations beyond one year were not material.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account for stock-based compensation in accordance with the authoritative guidance on stock compensation. Under the fair value recognition provisions of this guidance, stock-based compensation is measured at the grant date based on the fair value of the award and is recognized as expense, net of forfeitures, in the statement of operations over the requisite service period, which is generally the vesting period of the respective award. Forfeitures are estimated based upon our historical experience and we revise the estimates, if necessary, in subsequent periods if actual forfeitures differ from initial estimates.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Determining the grant-date fair value of stock options requires judgment. We estimate the fair value of restricted stock units at our stock price on the grant date. We use the Black-Scholes option-pricing model to determine the fair value of stock options and warrants. The determination of the grant-date fair value using the Black-Scholes model is affected by the fair value of our common stock and assumptions regarding a number of other complex and subjective variables. These assumptions include the expected term of the award, the expected stock price volatility over the expected term of the award, the risk-free interest rate for the expected term of the award, and expected dividends.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Common Stock Valuations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Prior to our IPO, the fair value of the common stock underlying our share-based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Times New Roman;serif" w:hAnsi="Times New Roman;serif"/>
          <w:b w:val="false"/>
          <w:i/>
          <w:color w:val="000000"/>
          <w:sz w:val="20"/>
        </w:rPr>
        <w:t>Valuation of Privately-Held Company Equity Securities Issued as Compensation</w:t>
      </w:r>
      <w:r>
        <w:rPr>
          <w:rFonts w:ascii="Times New Roman;serif" w:hAnsi="Times New Roman;serif"/>
          <w:b w:val="false"/>
          <w:color w:val="000000"/>
          <w:sz w:val="20"/>
        </w:rPr>
        <w:t>, our board of directors exercised reasonable judgment and considered numerous objective and subjective factors to determine the best estimate of the fair value of our common stock at each grant date. These factors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results of contemporaneous valuations performed at periodic intervals by a third-party valuation firm;</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prices, rights, preferences, and privileges of our redeemable convertible preferred stock relative to those of our common stock;</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prices of our redeemable convertible preferred stock and common stock sold to investors in arm’s-length transactions;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actual operating and financial performance and estimated trends and prospects for our future performance;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stage of development;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likelihood of achieving a liquidity event, such as an initial public offering, direct listing, or sale of our company, given prevailing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lack of marketability involving securities in a private company;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market performance of comparable publicly traded companies;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U.S. and global capital market conditions.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valuing our common stock, the fair value of our business was determined using various valuation methods, including combinations of the market approach and the income approach with input from management. The market approach estimates value based on a comparison of the subject company to comparable public companies in a similar line of business. From the comparable companies, a representative market value multiple was determined, which was applied to our operating results to estimate the enterprise value of our company. The market approach also included reference to our own stock transactions when issuances of redeemable convertible preferred stock were made close to the valuation date. The income approach involves applying an appropriate risk-adjusted discount rate to projected cash flows based on forecasted revenue and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Once the enterprise value was determined under the market approach or income approach, we derived the equity value of our company using either an option pricing model (“OPM”) or a hybrid method of OPM and the probability weighted expected return method (“PWERM”) to allocate that value among the various classes of securities to arrive at the fair value of the common stock. The OPM is based on the Black-Scholes-Merton option pricing model, which 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including an IPO as well as non-IPO market-based outcomes. After the equity value is determined and allocated to the various classes of shares, a discount for lack of marketability (“DLOM”) is applied to arrive at the fair value of ordinary shares. A DLOM is applied based on the theory that, as an owner of a private company stock, the stockholder has limited opportunities to sell this stock, and any such sale would involve significant transaction costs, thereby reducing overall fair market value.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unrelated parties, and whether the transactions involved investors with access to our financial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valuations after the completion of our IPO, the board of directors determined the fair value of each share of underlying common stock based on the closing price of our common stock as reported on the date of grant. Future expense amounts for any particular period could be affected by changes in our assumptions or market conditions.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Redeemable Convertible Preferred Stock and Common Stock Warrants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We account for warrants as either equity-classified or liability-classified instruments based on an assessment of the warrant’s specific terms and applicable authoritative guidance in ASC 480, </w:t>
      </w:r>
      <w:r>
        <w:rPr>
          <w:rFonts w:ascii="Times New Roman;serif" w:hAnsi="Times New Roman;serif"/>
          <w:b w:val="false"/>
          <w:i/>
          <w:color w:val="000000"/>
          <w:sz w:val="20"/>
        </w:rPr>
        <w:t>Distinguishing Liabilities from Equity</w:t>
      </w:r>
      <w:r>
        <w:rPr>
          <w:rFonts w:ascii="Times New Roman;serif" w:hAnsi="Times New Roman;serif"/>
          <w:b w:val="false"/>
          <w:color w:val="000000"/>
          <w:sz w:val="20"/>
        </w:rPr>
        <w:t xml:space="preserve">, and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We have issued redeemable convertible preferred stock warrants and common stock warrants which are classified as a liability on the consolidated balance sheets because the redeemable convertible preferred stock warrants are freestanding financial instruments that may require us to transfer assets upon exercise, and the common stock warrants contain a term that may require adjustment to the exercise price. We use the Black-Scholes-Merton option pricing model, which incorporates assumptions and estimates, to value the redeemable convertible preferred stock warrants and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we do not anticipate paying any cash dividends in the foreseeable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Accounting Pronouncements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more information on recently issued accounting pronouncements, see Note 2 to our consolidated financial statements included elsewhere in this Form 10-K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New Accounting Pronouncements Not Yet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more information on recently issued accounting pronouncements, see Note 2 to our consolidated financial statements included elsewhere in this Form 10-K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Market risk represents the risk of loss that may impact our financial position due to adverse changes in financial market prices and rates.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We had cash and cash equivalents of $222.0 million as of December 31, 2025 and $76.4 million as of December 31, 2024. Our cash and cash equivalents consist of cash held in sweep accounts, checking accounts, and money market funds. The cash and cash equivalents are held primarily for working capital purposes. Such interest-earning instruments carry a degree of interest rate risk. Due to the short-term durations and nature of our investments, we have not been exposed to, nor do we anticipate being exposed to, material risks due to changes in interest rates. We may be exposed to further interest rate risk if we revise our strategy to invest in longer term securities in the future. A hypothetical 10% increase or decrease in interest rates would not have had a material impact on our consolidated financial statements as of December 31, 2025.</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continue to see demand for our virtual care programs, we believe that current macroeconomic factors, including the impact of inflation and tariffs, are impacting customer and channel partner spending decisions. Given the current macroeconomic environment, we continue to look for ways to manage costs and mitigate any changes in the purchasing behavior of our customers and channel partners that may occur due to significant inflationary pressure, tariffs, or other factors. If our costs, in particular labor, sales and marketing, and cloud hosting costs, become subject to sustained or increased inflationary or other macroeconomic pressure, we may be unable to fully offset such higher costs through price increases, which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8. Financial Statements and Supplementary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11"/>
        <w:gridCol w:w="3087"/>
        <w:gridCol w:w="3094"/>
        <w:gridCol w:w="149"/>
        <w:gridCol w:w="149"/>
        <w:gridCol w:w="215"/>
      </w:tblGrid>
      <w:tr>
        <w:trPr/>
        <w:tc>
          <w:tcPr>
            <w:tcW w:w="3511"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Annual Consolidated Financial Statements</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1d47451c94240ed97a8128572ac0cd2_827">
              <w:r>
                <w:rPr>
                  <w:rStyle w:val="InternetLink"/>
                  <w:rFonts w:ascii="Times New Roman;serif" w:hAnsi="Times New Roman;serif"/>
                  <w:b w:val="false"/>
                  <w:strike w:val="false"/>
                  <w:dstrike w:val="false"/>
                  <w:color w:val="000000"/>
                  <w:sz w:val="20"/>
                  <w:u w:val="none"/>
                  <w:effect w:val="none"/>
                </w:rPr>
                <w:t>Report of Independent Registered Public Accounting Firm</w:t>
              </w:r>
            </w:hyperlink>
            <w:r>
              <w:rPr>
                <w:rFonts w:ascii="Times New Roman;serif" w:hAnsi="Times New Roman;serif"/>
                <w:b w:val="false"/>
                <w:color w:val="000000"/>
                <w:sz w:val="20"/>
              </w:rPr>
              <w:t xml:space="preserve"> (PCAOB ID 34)</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827">
              <w:r>
                <w:rPr>
                  <w:rStyle w:val="InternetLink"/>
                  <w:rFonts w:ascii="Times New Roman;serif" w:hAnsi="Times New Roman;serif"/>
                  <w:b w:val="false"/>
                  <w:strike w:val="false"/>
                  <w:dstrike w:val="false"/>
                  <w:color w:val="000000"/>
                  <w:sz w:val="20"/>
                  <w:u w:val="none"/>
                  <w:effect w:val="none"/>
                </w:rPr>
                <w:t>90</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1d47451c94240ed97a8128572ac0cd2_1099511628389">
              <w:r>
                <w:rPr>
                  <w:rStyle w:val="InternetLink"/>
                  <w:rFonts w:ascii="Times New Roman;serif" w:hAnsi="Times New Roman;serif"/>
                  <w:b w:val="false"/>
                  <w:strike w:val="false"/>
                  <w:dstrike w:val="false"/>
                  <w:color w:val="000080"/>
                  <w:sz w:val="20"/>
                  <w:u w:val="single"/>
                  <w:effect w:val="none"/>
                </w:rPr>
                <w:t>Consolidated Balance Sheets as of December 31, 202</w:t>
              </w:r>
            </w:hyperlink>
            <w:hyperlink w:anchor="i41d47451c94240ed97a8128572ac0cd2_1099511628389">
              <w:r>
                <w:rPr>
                  <w:rStyle w:val="InternetLink"/>
                  <w:rFonts w:ascii="Times New Roman;serif" w:hAnsi="Times New Roman;serif"/>
                  <w:b w:val="false"/>
                  <w:strike w:val="false"/>
                  <w:dstrike w:val="false"/>
                  <w:color w:val="000080"/>
                  <w:sz w:val="20"/>
                  <w:u w:val="single"/>
                  <w:effect w:val="none"/>
                </w:rPr>
                <w:t>5</w:t>
              </w:r>
            </w:hyperlink>
            <w:hyperlink w:anchor="i41d47451c94240ed97a8128572ac0cd2_1099511628389">
              <w:r>
                <w:rPr>
                  <w:rStyle w:val="InternetLink"/>
                  <w:rFonts w:ascii="Times New Roman;serif" w:hAnsi="Times New Roman;serif"/>
                  <w:b w:val="false"/>
                  <w:strike w:val="false"/>
                  <w:dstrike w:val="false"/>
                  <w:color w:val="000080"/>
                  <w:sz w:val="20"/>
                  <w:u w:val="single"/>
                  <w:effect w:val="none"/>
                </w:rPr>
                <w:t xml:space="preserve"> and 202</w:t>
              </w:r>
            </w:hyperlink>
            <w:r>
              <w:rPr>
                <w:rFonts w:ascii="Times New Roman;serif" w:hAnsi="Times New Roman;serif"/>
                <w:b w:val="false"/>
                <w:color w:val="000000"/>
                <w:sz w:val="20"/>
              </w:rPr>
              <w:t>4</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099511628389">
              <w:r>
                <w:rPr>
                  <w:rStyle w:val="InternetLink"/>
                  <w:rFonts w:ascii="Times New Roman;serif" w:hAnsi="Times New Roman;serif"/>
                  <w:b w:val="false"/>
                  <w:strike w:val="false"/>
                  <w:dstrike w:val="false"/>
                  <w:color w:val="000000"/>
                  <w:sz w:val="20"/>
                  <w:u w:val="none"/>
                  <w:effect w:val="none"/>
                </w:rPr>
                <w:t>91</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1d47451c94240ed97a8128572ac0cd2_1099511628397">
              <w:r>
                <w:rPr>
                  <w:rStyle w:val="InternetLink"/>
                  <w:rFonts w:ascii="Times New Roman;serif" w:hAnsi="Times New Roman;serif"/>
                  <w:b w:val="false"/>
                  <w:strike w:val="false"/>
                  <w:dstrike w:val="false"/>
                  <w:color w:val="000080"/>
                  <w:sz w:val="20"/>
                  <w:u w:val="single"/>
                  <w:effect w:val="none"/>
                </w:rPr>
                <w:t xml:space="preserve">Consolidated Statements of Operations and Comprehensive Loss for the </w:t>
              </w:r>
            </w:hyperlink>
            <w:hyperlink w:anchor="i41d47451c94240ed97a8128572ac0cd2_1099511628397">
              <w:r>
                <w:rPr>
                  <w:rStyle w:val="InternetLink"/>
                  <w:rFonts w:ascii="Times New Roman;serif" w:hAnsi="Times New Roman;serif"/>
                  <w:b w:val="false"/>
                  <w:strike w:val="false"/>
                  <w:dstrike w:val="false"/>
                  <w:color w:val="000080"/>
                  <w:sz w:val="20"/>
                  <w:u w:val="single"/>
                  <w:effect w:val="none"/>
                </w:rPr>
                <w:t>years ended</w:t>
              </w:r>
            </w:hyperlink>
            <w:hyperlink w:anchor="i41d47451c94240ed97a8128572ac0cd2_1099511628397">
              <w:r>
                <w:rPr>
                  <w:rStyle w:val="InternetLink"/>
                  <w:rFonts w:ascii="Times New Roman;serif" w:hAnsi="Times New Roman;serif"/>
                  <w:b w:val="false"/>
                  <w:strike w:val="false"/>
                  <w:dstrike w:val="false"/>
                  <w:color w:val="000080"/>
                  <w:sz w:val="20"/>
                  <w:u w:val="single"/>
                  <w:effect w:val="none"/>
                </w:rPr>
                <w:t xml:space="preserve"> </w:t>
              </w:r>
            </w:hyperlink>
            <w:hyperlink w:anchor="i41d47451c94240ed97a8128572ac0cd2_1099511628397">
              <w:r>
                <w:rPr>
                  <w:rStyle w:val="InternetLink"/>
                  <w:rFonts w:ascii="Times New Roman;serif" w:hAnsi="Times New Roman;serif"/>
                  <w:b w:val="false"/>
                  <w:strike w:val="false"/>
                  <w:dstrike w:val="false"/>
                  <w:color w:val="000080"/>
                  <w:sz w:val="20"/>
                  <w:u w:val="single"/>
                  <w:effect w:val="none"/>
                </w:rPr>
                <w:t>December 31, 202</w:t>
              </w:r>
            </w:hyperlink>
            <w:hyperlink w:anchor="i41d47451c94240ed97a8128572ac0cd2_1099511628397">
              <w:r>
                <w:rPr>
                  <w:rStyle w:val="InternetLink"/>
                  <w:rFonts w:ascii="Times New Roman;serif" w:hAnsi="Times New Roman;serif"/>
                  <w:b w:val="false"/>
                  <w:strike w:val="false"/>
                  <w:dstrike w:val="false"/>
                  <w:color w:val="000080"/>
                  <w:sz w:val="20"/>
                  <w:u w:val="single"/>
                  <w:effect w:val="none"/>
                </w:rPr>
                <w:t>5</w:t>
              </w:r>
            </w:hyperlink>
            <w:hyperlink w:anchor="i41d47451c94240ed97a8128572ac0cd2_1099511628397">
              <w:r>
                <w:rPr>
                  <w:rStyle w:val="InternetLink"/>
                  <w:rFonts w:ascii="Times New Roman;serif" w:hAnsi="Times New Roman;serif"/>
                  <w:b w:val="false"/>
                  <w:strike w:val="false"/>
                  <w:dstrike w:val="false"/>
                  <w:color w:val="000080"/>
                  <w:sz w:val="20"/>
                  <w:u w:val="single"/>
                  <w:effect w:val="none"/>
                </w:rPr>
                <w:t xml:space="preserve">, </w:t>
              </w:r>
            </w:hyperlink>
            <w:hyperlink w:anchor="i41d47451c94240ed97a8128572ac0cd2_1099511628397">
              <w:r>
                <w:rPr>
                  <w:rStyle w:val="InternetLink"/>
                  <w:rFonts w:ascii="Times New Roman;serif" w:hAnsi="Times New Roman;serif"/>
                  <w:b w:val="false"/>
                  <w:strike w:val="false"/>
                  <w:dstrike w:val="false"/>
                  <w:color w:val="000080"/>
                  <w:sz w:val="20"/>
                  <w:u w:val="single"/>
                  <w:effect w:val="none"/>
                </w:rPr>
                <w:t>202</w:t>
              </w:r>
            </w:hyperlink>
            <w:r>
              <w:rPr>
                <w:rFonts w:ascii="Times New Roman;serif" w:hAnsi="Times New Roman;serif"/>
                <w:b w:val="false"/>
                <w:color w:val="000000"/>
                <w:sz w:val="20"/>
              </w:rPr>
              <w:t>4 and 2023</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099511628397">
              <w:r>
                <w:rPr>
                  <w:rStyle w:val="InternetLink"/>
                  <w:rFonts w:ascii="Times New Roman;serif" w:hAnsi="Times New Roman;serif"/>
                  <w:b w:val="false"/>
                  <w:strike w:val="false"/>
                  <w:dstrike w:val="false"/>
                  <w:color w:val="000000"/>
                  <w:sz w:val="20"/>
                  <w:u w:val="none"/>
                  <w:effect w:val="none"/>
                </w:rPr>
                <w:t>92</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1d47451c94240ed97a8128572ac0cd2_1099511628405">
              <w:r>
                <w:rPr>
                  <w:rStyle w:val="InternetLink"/>
                  <w:rFonts w:ascii="Times New Roman;serif" w:hAnsi="Times New Roman;serif"/>
                  <w:b w:val="false"/>
                  <w:strike w:val="false"/>
                  <w:dstrike w:val="false"/>
                  <w:color w:val="000080"/>
                  <w:sz w:val="20"/>
                  <w:u w:val="single"/>
                  <w:effect w:val="none"/>
                </w:rPr>
                <w:t xml:space="preserve">Consolidated Statements of Redeemable Convertible Preferred Stock and Stockholders’ </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Equity (</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Deficit</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 xml:space="preserve"> </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 xml:space="preserve">for the </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years ended</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 xml:space="preserve"> December 31, 202</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5</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 xml:space="preserve">, </w:t>
              </w:r>
            </w:hyperlink>
            <w:hyperlink w:anchor="i41d47451c94240ed97a8128572ac0cd2_1099511628405">
              <w:r>
                <w:rPr>
                  <w:rStyle w:val="InternetLink"/>
                  <w:rFonts w:ascii="Times New Roman;serif" w:hAnsi="Times New Roman;serif"/>
                  <w:b w:val="false"/>
                  <w:strike w:val="false"/>
                  <w:dstrike w:val="false"/>
                  <w:color w:val="000080"/>
                  <w:sz w:val="20"/>
                  <w:u w:val="single"/>
                  <w:effect w:val="none"/>
                </w:rPr>
                <w:t>202</w:t>
              </w:r>
            </w:hyperlink>
            <w:r>
              <w:rPr>
                <w:rFonts w:ascii="Times New Roman;serif" w:hAnsi="Times New Roman;serif"/>
                <w:b w:val="false"/>
                <w:color w:val="000000"/>
                <w:sz w:val="20"/>
              </w:rPr>
              <w:t>4 and 2023</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099511628405">
              <w:r>
                <w:rPr>
                  <w:rStyle w:val="InternetLink"/>
                  <w:rFonts w:ascii="Times New Roman;serif" w:hAnsi="Times New Roman;serif"/>
                  <w:b w:val="false"/>
                  <w:strike w:val="false"/>
                  <w:dstrike w:val="false"/>
                  <w:color w:val="000000"/>
                  <w:sz w:val="20"/>
                  <w:u w:val="none"/>
                  <w:effect w:val="none"/>
                </w:rPr>
                <w:t>93</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1d47451c94240ed97a8128572ac0cd2_1099511628413">
              <w:r>
                <w:rPr>
                  <w:rStyle w:val="InternetLink"/>
                  <w:rFonts w:ascii="Times New Roman;serif" w:hAnsi="Times New Roman;serif"/>
                  <w:b w:val="false"/>
                  <w:strike w:val="false"/>
                  <w:dstrike w:val="false"/>
                  <w:color w:val="000080"/>
                  <w:sz w:val="20"/>
                  <w:u w:val="single"/>
                  <w:effect w:val="none"/>
                </w:rPr>
                <w:t xml:space="preserve">Consolidated Statements of Cash Flows for the </w:t>
              </w:r>
            </w:hyperlink>
            <w:hyperlink w:anchor="i41d47451c94240ed97a8128572ac0cd2_1099511628413">
              <w:r>
                <w:rPr>
                  <w:rStyle w:val="InternetLink"/>
                  <w:rFonts w:ascii="Times New Roman;serif" w:hAnsi="Times New Roman;serif"/>
                  <w:b w:val="false"/>
                  <w:strike w:val="false"/>
                  <w:dstrike w:val="false"/>
                  <w:color w:val="000080"/>
                  <w:sz w:val="20"/>
                  <w:u w:val="single"/>
                  <w:effect w:val="none"/>
                </w:rPr>
                <w:t>years ended</w:t>
              </w:r>
            </w:hyperlink>
            <w:hyperlink w:anchor="i41d47451c94240ed97a8128572ac0cd2_1099511628413">
              <w:r>
                <w:rPr>
                  <w:rStyle w:val="InternetLink"/>
                  <w:rFonts w:ascii="Times New Roman;serif" w:hAnsi="Times New Roman;serif"/>
                  <w:b w:val="false"/>
                  <w:strike w:val="false"/>
                  <w:dstrike w:val="false"/>
                  <w:color w:val="000080"/>
                  <w:sz w:val="20"/>
                  <w:u w:val="single"/>
                  <w:effect w:val="none"/>
                </w:rPr>
                <w:t xml:space="preserve"> December 31, 202</w:t>
              </w:r>
            </w:hyperlink>
            <w:hyperlink w:anchor="i41d47451c94240ed97a8128572ac0cd2_1099511628413">
              <w:r>
                <w:rPr>
                  <w:rStyle w:val="InternetLink"/>
                  <w:rFonts w:ascii="Times New Roman;serif" w:hAnsi="Times New Roman;serif"/>
                  <w:b w:val="false"/>
                  <w:strike w:val="false"/>
                  <w:dstrike w:val="false"/>
                  <w:color w:val="000080"/>
                  <w:sz w:val="20"/>
                  <w:u w:val="single"/>
                  <w:effect w:val="none"/>
                </w:rPr>
                <w:t>5</w:t>
              </w:r>
            </w:hyperlink>
            <w:hyperlink w:anchor="i41d47451c94240ed97a8128572ac0cd2_1099511628413">
              <w:r>
                <w:rPr>
                  <w:rStyle w:val="InternetLink"/>
                  <w:rFonts w:ascii="Times New Roman;serif" w:hAnsi="Times New Roman;serif"/>
                  <w:b w:val="false"/>
                  <w:strike w:val="false"/>
                  <w:dstrike w:val="false"/>
                  <w:color w:val="000080"/>
                  <w:sz w:val="20"/>
                  <w:u w:val="single"/>
                  <w:effect w:val="none"/>
                </w:rPr>
                <w:t xml:space="preserve">, </w:t>
              </w:r>
            </w:hyperlink>
            <w:hyperlink w:anchor="i41d47451c94240ed97a8128572ac0cd2_1099511628413">
              <w:r>
                <w:rPr>
                  <w:rStyle w:val="InternetLink"/>
                  <w:rFonts w:ascii="Times New Roman;serif" w:hAnsi="Times New Roman;serif"/>
                  <w:b w:val="false"/>
                  <w:strike w:val="false"/>
                  <w:dstrike w:val="false"/>
                  <w:color w:val="000080"/>
                  <w:sz w:val="20"/>
                  <w:u w:val="single"/>
                  <w:effect w:val="none"/>
                </w:rPr>
                <w:t>202</w:t>
              </w:r>
            </w:hyperlink>
            <w:r>
              <w:rPr>
                <w:rFonts w:ascii="Times New Roman;serif" w:hAnsi="Times New Roman;serif"/>
                <w:b w:val="false"/>
                <w:color w:val="000000"/>
                <w:sz w:val="20"/>
              </w:rPr>
              <w:t>4 and 2023</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1099511628413">
              <w:r>
                <w:rPr>
                  <w:rStyle w:val="InternetLink"/>
                  <w:rFonts w:ascii="Times New Roman;serif" w:hAnsi="Times New Roman;serif"/>
                  <w:b w:val="false"/>
                  <w:strike w:val="false"/>
                  <w:dstrike w:val="false"/>
                  <w:color w:val="000000"/>
                  <w:sz w:val="20"/>
                  <w:u w:val="none"/>
                  <w:effect w:val="none"/>
                </w:rPr>
                <w:t>94</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1d47451c94240ed97a8128572ac0cd2_28">
              <w:r>
                <w:rPr>
                  <w:rStyle w:val="InternetLink"/>
                  <w:rFonts w:ascii="Times New Roman;serif" w:hAnsi="Times New Roman;serif"/>
                  <w:b w:val="false"/>
                  <w:strike w:val="false"/>
                  <w:dstrike w:val="false"/>
                  <w:color w:val="000000"/>
                  <w:sz w:val="20"/>
                  <w:u w:val="none"/>
                  <w:effect w:val="none"/>
                </w:rPr>
                <w:t>Notes to the Consolidated Financial Statements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d47451c94240ed97a8128572ac0cd2_28">
              <w:r>
                <w:rPr>
                  <w:rStyle w:val="InternetLink"/>
                  <w:rFonts w:ascii="Times New Roman;serif" w:hAnsi="Times New Roman;serif"/>
                  <w:b w:val="false"/>
                  <w:strike w:val="false"/>
                  <w:dstrike w:val="false"/>
                  <w:color w:val="000000"/>
                  <w:sz w:val="20"/>
                  <w:u w:val="none"/>
                  <w:effect w:val="non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1" name="Frame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Omada Health, Inc.</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Omada Health, Inc. and its subsidiary (the "Company") as of December 31, 2025 and 2024, the related consolidated statements of operations and comprehensive loss, redeemable convertible preferred stock and stockholders'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March 6,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8.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10205" w:type="dxa"/>
        <w:jc w:val="left"/>
        <w:tblInd w:w="0" w:type="dxa"/>
        <w:tblLayout w:type="fixed"/>
        <w:tblCellMar>
          <w:top w:w="28" w:type="dxa"/>
          <w:left w:w="28" w:type="dxa"/>
          <w:bottom w:w="28" w:type="dxa"/>
          <w:right w:w="28" w:type="dxa"/>
        </w:tblCellMar>
      </w:tblPr>
      <w:tblGrid>
        <w:gridCol w:w="2889"/>
        <w:gridCol w:w="2371"/>
        <w:gridCol w:w="2279"/>
        <w:gridCol w:w="211"/>
        <w:gridCol w:w="826"/>
        <w:gridCol w:w="109"/>
        <w:gridCol w:w="109"/>
        <w:gridCol w:w="109"/>
        <w:gridCol w:w="109"/>
        <w:gridCol w:w="211"/>
        <w:gridCol w:w="826"/>
        <w:gridCol w:w="156"/>
      </w:tblGrid>
      <w:tr>
        <w:trPr/>
        <w:tc>
          <w:tcPr>
            <w:tcW w:w="288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net</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equity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Accounts payable </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expenses and other current liabilities</w:t>
            </w:r>
            <w:r>
              <w:rPr>
                <w:color w:val="000000"/>
              </w:rPr>
              <w:t xml:space="preserve"> </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Deferred revenue</w:t>
            </w:r>
            <w:r>
              <w:rPr>
                <w:color w:val="000000"/>
              </w:rPr>
              <w:t xml:space="preserve">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7)</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$0.001 par value per share; no shares and 120,689 shares authorized as of December 31, 2025 and December 31, 2024, respectively; no shares and 118,219 shares issued and outstanding as of December 31, 2025 and December 31, 2024, respectively; aggregate liquidation preference of $0 and $455,588 as of December 31, 2025 and December 31, 2024, net of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750,000 and 181,500 shares authorized as of December 31, 2025 and December 31, 2024, respectively; 58,429 and 8,157 shares issued and outstanding as of December 31,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(384,403)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convertible preferred stock and stockholders' equity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150,892 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(1)Includes amounts from a related party of $22.8 million and $13.2 million as of December 31, 2025 and December 31, 2024, respectively.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(2)Includes amounts from a related party of $0.3 million and $0.1 million as of December 31, 2025 and December 31, 2024, respectively.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(3)Includes amounts from a related party of $1.0 million and $0 as of December 31, 2025 and December 31, 2024, respectively.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(4)Includes amounts from a related party of $4.9 million and $2.2 million as of December 31, 2025 and December 31, 2024, respectively.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(5)Includes amounts from a related party of $18.8 million and $13.2 million as of December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2580"/>
                <wp:effectExtent l="0" t="0" r="0" b="0"/>
                <wp:wrapNone/>
                <wp:docPr id="93" name="Frame9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8847" w:type="dxa"/>
        <w:jc w:val="left"/>
        <w:tblInd w:w="0" w:type="dxa"/>
        <w:tblLayout w:type="fixed"/>
        <w:tblCellMar>
          <w:top w:w="28" w:type="dxa"/>
          <w:left w:w="28" w:type="dxa"/>
          <w:bottom w:w="28" w:type="dxa"/>
          <w:right w:w="28" w:type="dxa"/>
        </w:tblCellMar>
      </w:tblPr>
      <w:tblGrid>
        <w:gridCol w:w="1704"/>
        <w:gridCol w:w="1502"/>
        <w:gridCol w:w="1504"/>
        <w:gridCol w:w="211"/>
        <w:gridCol w:w="826"/>
        <w:gridCol w:w="109"/>
        <w:gridCol w:w="109"/>
        <w:gridCol w:w="109"/>
        <w:gridCol w:w="109"/>
        <w:gridCol w:w="211"/>
        <w:gridCol w:w="826"/>
        <w:gridCol w:w="109"/>
        <w:gridCol w:w="109"/>
        <w:gridCol w:w="109"/>
        <w:gridCol w:w="109"/>
        <w:gridCol w:w="211"/>
        <w:gridCol w:w="826"/>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1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Services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Hardware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Services</w:t>
            </w:r>
            <w:r>
              <w:rPr>
                <w:color w:val="000000"/>
              </w:rPr>
              <w:t xml:space="preserve">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color w:val="000000"/>
              </w:rPr>
              <w:t xml:space="preserve">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 and diluted</w:t>
            </w:r>
          </w:p>
        </w:tc>
        <w:tc>
          <w:tcPr>
            <w:tcW w:w="11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7,091</w:t>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(1)Includes amounts from a related party of $157.7 million, $88.0 million and $62.9 million for the years ended December 31, 2025, 2024, and 2023, respectively.</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(2)Includes amounts from a related party of $12.1 million, $6.5 million and $4.4 million for the years ended December 31, 2025, 2024, and 2023, respectively.</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(3)Includes amounts from a related party of $5.0 million, $3.4 million, and $2.8 million for the years ended December 31, 2025, 2024, and 2023, respectively.</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(4)Includes amounts from a related party of $2.2 million, $1.7 million and $1.5 million for the years ended December 31, 2025, 2024, and 2023, respectively.</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(5)Includes amounts from a related party of $26.1 million, $15.2 million and $10.8 million for the years ended December 31, 2025, 2024, and 2023, respectively.</w:t>
      </w:r>
    </w:p>
    <w:p>
      <w:pPr>
        <w:pStyle w:val="TextBody"/>
        <w:bidi w:val="0"/>
        <w:spacing w:lineRule="auto" w:line="288" w:before="0" w:after="5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(6)Includes amounts from a related party of $1.5 million, $1.1 million and $1.1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2580"/>
                <wp:effectExtent l="0" t="0" r="0" b="0"/>
                <wp:wrapNone/>
                <wp:docPr id="94" name="Frame9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REDEEMABLE CONVERTIBLE PREFERRED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724"/>
        <w:gridCol w:w="357"/>
        <w:gridCol w:w="358"/>
        <w:gridCol w:w="251"/>
        <w:gridCol w:w="251"/>
        <w:gridCol w:w="249"/>
        <w:gridCol w:w="111"/>
        <w:gridCol w:w="111"/>
        <w:gridCol w:w="111"/>
        <w:gridCol w:w="201"/>
        <w:gridCol w:w="770"/>
        <w:gridCol w:w="111"/>
        <w:gridCol w:w="109"/>
        <w:gridCol w:w="109"/>
        <w:gridCol w:w="109"/>
        <w:gridCol w:w="109"/>
        <w:gridCol w:w="109"/>
        <w:gridCol w:w="109"/>
        <w:gridCol w:w="199"/>
        <w:gridCol w:w="199"/>
        <w:gridCol w:w="203"/>
        <w:gridCol w:w="109"/>
        <w:gridCol w:w="109"/>
        <w:gridCol w:w="109"/>
        <w:gridCol w:w="208"/>
        <w:gridCol w:w="367"/>
        <w:gridCol w:w="116"/>
        <w:gridCol w:w="109"/>
        <w:gridCol w:w="109"/>
        <w:gridCol w:w="109"/>
        <w:gridCol w:w="201"/>
        <w:gridCol w:w="773"/>
        <w:gridCol w:w="112"/>
        <w:gridCol w:w="109"/>
        <w:gridCol w:w="109"/>
        <w:gridCol w:w="109"/>
        <w:gridCol w:w="198"/>
        <w:gridCol w:w="763"/>
        <w:gridCol w:w="110"/>
        <w:gridCol w:w="109"/>
        <w:gridCol w:w="109"/>
        <w:gridCol w:w="109"/>
        <w:gridCol w:w="204"/>
        <w:gridCol w:w="812"/>
        <w:gridCol w:w="173"/>
      </w:tblGrid>
      <w:tr>
        <w:trPr/>
        <w:tc>
          <w:tcPr>
            <w:tcW w:w="72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6"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2022</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118,129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448,777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36,140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(329,318)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(293,172)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Series A redeemable convertible preferred stock upon exercise of warrants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(67,511)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118,219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449,034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46,710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(396,829)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(350,112)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(47,137)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118,219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449,034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59,555</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(443,966)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(384,403)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initial public offering, net of underwriting discounts and commissions and offering costs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151,591 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151,600 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redeemable convertible preferred stock to common stock in connection with initial public offering</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(118,446)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452,073 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452,112 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Automatic cashless exercise of all outstanding Series B redeemable convertible preferred stock warrants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Cashless exercise of all outstanding Series D redeemable convertible preferred stock warrants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Cashless exercise of all outstanding common stock warrants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(12,778)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7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58,429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58</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686,366</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(456,744)</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229,680</w:t>
            </w: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2580"/>
                <wp:effectExtent l="0" t="0" r="0" b="0"/>
                <wp:wrapNone/>
                <wp:docPr id="95" name="Frame9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58"/>
        <w:gridCol w:w="1918"/>
        <w:gridCol w:w="1931"/>
        <w:gridCol w:w="211"/>
        <w:gridCol w:w="826"/>
        <w:gridCol w:w="109"/>
        <w:gridCol w:w="109"/>
        <w:gridCol w:w="109"/>
        <w:gridCol w:w="109"/>
        <w:gridCol w:w="211"/>
        <w:gridCol w:w="785"/>
        <w:gridCol w:w="109"/>
        <w:gridCol w:w="109"/>
        <w:gridCol w:w="109"/>
        <w:gridCol w:w="109"/>
        <w:gridCol w:w="211"/>
        <w:gridCol w:w="826"/>
        <w:gridCol w:w="156"/>
      </w:tblGrid>
      <w:tr>
        <w:trPr/>
        <w:tc>
          <w:tcPr>
            <w:tcW w:w="2258"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Provision for credit losses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Accounts receivable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Accounts payable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Accrued expenses and other current liabilities </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revenue </w:t>
            </w:r>
            <w:r>
              <w:rPr>
                <w:rFonts w:ascii="Times New Roman;serif" w:hAnsi="Times New Roman;serif"/>
                <w:b w:val="false"/>
                <w:color w:val="000000"/>
                <w:sz w:val="13"/>
              </w:rPr>
              <w:t>(6)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Midcap term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Midcap term facility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Perceptive term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Midcap term facility principal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extinguishment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initial public offering, net of underwriting discounts and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115,643 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6"/>
        </w:rPr>
        <w:t>(1)Includes changes in related party balances of $0.5 million, $0.2 million and $0.2 million</w:t>
      </w:r>
      <w:r>
        <w:rPr>
          <w:color w:val="000000"/>
        </w:rPr>
        <w:t xml:space="preserve"> </w:t>
      </w:r>
      <w:r>
        <w:rPr>
          <w:rFonts w:ascii="Times New Roman;serif" w:hAnsi="Times New Roman;serif"/>
          <w:b w:val="false"/>
          <w:color w:val="000000"/>
          <w:sz w:val="16"/>
        </w:rPr>
        <w:t>for the years ended December 31, 2025, 2024, and 2023, respectively.</w:t>
      </w:r>
    </w:p>
    <w:p>
      <w:pPr>
        <w:pStyle w:val="TextBody"/>
        <w:bidi w:val="0"/>
        <w:spacing w:lineRule="auto" w:line="288" w:before="0" w:after="0"/>
        <w:ind w:left="0" w:right="0" w:hanging="270"/>
        <w:jc w:val="both"/>
        <w:rPr/>
      </w:pPr>
      <w:r>
        <w:rPr>
          <w:rFonts w:ascii="Times New Roman;serif" w:hAnsi="Times New Roman;serif"/>
          <w:b w:val="false"/>
          <w:color w:val="000000"/>
          <w:sz w:val="16"/>
        </w:rPr>
        <w:t>(2)Includes changes in related party balances of $9.1 million, $5.3 million and $3.8 million</w:t>
      </w:r>
      <w:r>
        <w:rPr>
          <w:color w:val="000000"/>
        </w:rPr>
        <w:t xml:space="preserve"> </w:t>
      </w:r>
      <w:r>
        <w:rPr>
          <w:rFonts w:ascii="Times New Roman;serif" w:hAnsi="Times New Roman;serif"/>
          <w:b w:val="false"/>
          <w:color w:val="000000"/>
          <w:sz w:val="16"/>
        </w:rPr>
        <w:t>for the years ended December 31, 2025, 2024, and 2023, respectively.</w:t>
      </w:r>
    </w:p>
    <w:p>
      <w:pPr>
        <w:pStyle w:val="TextBody"/>
        <w:bidi w:val="0"/>
        <w:spacing w:lineRule="auto" w:line="288" w:before="0" w:after="0"/>
        <w:ind w:left="0" w:right="0" w:hanging="270"/>
        <w:jc w:val="both"/>
        <w:rPr/>
      </w:pPr>
      <w:r>
        <w:rPr>
          <w:rFonts w:ascii="Times New Roman;serif" w:hAnsi="Times New Roman;serif"/>
          <w:b w:val="false"/>
          <w:color w:val="000000"/>
          <w:sz w:val="16"/>
        </w:rPr>
        <w:t>(3)Includes changes in related party balances of $0.2 million, $0.1 million and 0 million</w:t>
      </w:r>
      <w:r>
        <w:rPr>
          <w:color w:val="000000"/>
        </w:rPr>
        <w:t xml:space="preserve"> </w:t>
      </w:r>
      <w:r>
        <w:rPr>
          <w:rFonts w:ascii="Times New Roman;serif" w:hAnsi="Times New Roman;serif"/>
          <w:b w:val="false"/>
          <w:color w:val="000000"/>
          <w:sz w:val="16"/>
        </w:rPr>
        <w:t>for the years ended December 31, 2025, 2024, and 2023, respectively.</w:t>
      </w:r>
    </w:p>
    <w:p>
      <w:pPr>
        <w:pStyle w:val="TextBody"/>
        <w:bidi w:val="0"/>
        <w:spacing w:lineRule="auto" w:line="288" w:before="0" w:after="0"/>
        <w:ind w:left="0" w:right="0" w:hanging="270"/>
        <w:jc w:val="both"/>
        <w:rPr/>
      </w:pPr>
      <w:r>
        <w:rPr>
          <w:rFonts w:ascii="Times New Roman;serif" w:hAnsi="Times New Roman;serif"/>
          <w:b w:val="false"/>
          <w:color w:val="000000"/>
          <w:sz w:val="16"/>
        </w:rPr>
        <w:t>(4)Includes changes in related party balances of $1.0 million, $0 million and $0 million</w:t>
      </w:r>
      <w:r>
        <w:rPr>
          <w:color w:val="000000"/>
        </w:rPr>
        <w:t xml:space="preserve"> </w:t>
      </w:r>
      <w:r>
        <w:rPr>
          <w:rFonts w:ascii="Times New Roman;serif" w:hAnsi="Times New Roman;serif"/>
          <w:b w:val="false"/>
          <w:color w:val="000000"/>
          <w:sz w:val="16"/>
        </w:rPr>
        <w:t>for the years ended December 31, 2025, 2024, and 2023, respectively.</w:t>
      </w:r>
    </w:p>
    <w:p>
      <w:pPr>
        <w:pStyle w:val="TextBody"/>
        <w:bidi w:val="0"/>
        <w:spacing w:lineRule="auto" w:line="288" w:before="0" w:after="0"/>
        <w:ind w:left="0" w:right="0" w:hanging="270"/>
        <w:jc w:val="both"/>
        <w:rPr/>
      </w:pPr>
      <w:r>
        <w:rPr>
          <w:rFonts w:ascii="Times New Roman;serif" w:hAnsi="Times New Roman;serif"/>
          <w:b w:val="false"/>
          <w:color w:val="000000"/>
          <w:sz w:val="16"/>
        </w:rPr>
        <w:t>(5)Includes changes in related party balances of $2.7 million, $0.7 million and $0.5 million</w:t>
      </w:r>
      <w:r>
        <w:rPr>
          <w:color w:val="000000"/>
        </w:rPr>
        <w:t xml:space="preserve"> </w:t>
      </w:r>
      <w:r>
        <w:rPr>
          <w:rFonts w:ascii="Times New Roman;serif" w:hAnsi="Times New Roman;serif"/>
          <w:b w:val="false"/>
          <w:color w:val="000000"/>
          <w:sz w:val="16"/>
        </w:rPr>
        <w:t>for the years ended December 31, 2025, 2024, and 2023, respectively.</w:t>
      </w:r>
    </w:p>
    <w:p>
      <w:pPr>
        <w:pStyle w:val="TextBody"/>
        <w:bidi w:val="0"/>
        <w:spacing w:lineRule="auto" w:line="288" w:before="0" w:after="40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(6)Includes changes in related party balances of $5.7 million, $3.9 million and $2.2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425"/>
        <w:gridCol w:w="2131"/>
        <w:gridCol w:w="2141"/>
        <w:gridCol w:w="211"/>
        <w:gridCol w:w="616"/>
        <w:gridCol w:w="109"/>
        <w:gridCol w:w="109"/>
        <w:gridCol w:w="109"/>
        <w:gridCol w:w="109"/>
        <w:gridCol w:w="211"/>
        <w:gridCol w:w="616"/>
        <w:gridCol w:w="109"/>
        <w:gridCol w:w="109"/>
        <w:gridCol w:w="109"/>
        <w:gridCol w:w="109"/>
        <w:gridCol w:w="211"/>
        <w:gridCol w:w="616"/>
        <w:gridCol w:w="155"/>
      </w:tblGrid>
      <w:tr>
        <w:trPr/>
        <w:tc>
          <w:tcPr>
            <w:tcW w:w="2425"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capitalized in internal-use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Unpaid deferred offering costs included in 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Unpaid property and equipment included in accounts payable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of redeemable convertible preferred stock warrant in connection with Series A warrant exercise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of redeemable convertible preferred stock warrant liability in connection with Series B redeemable convertible preferred stock warrant exercise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of redeemable convertible preferred stock warrant liability in connection with Series D redeemable convertible preferred stock warrant exercise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of common stock warrant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convertible preferred stock in connection with initial public offering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2580"/>
                <wp:effectExtent l="0" t="0" r="0" b="0"/>
                <wp:wrapNone/>
                <wp:docPr id="96" name="Frame9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1.Description of Business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Omada Health, Inc. (together with its subsidiary and consolidated professional corporation, the “Company” or “Omada”) offers cardiometabolic programs for prediabetes, diabetes, and hypertension; a physical therapy program to address musculoskeletal (“MSK”) conditions; additional support for members taking glucagon-like peptide-1 agonists (“GLP-1”) in its cardiometabolic programs (“GLP-1 Care Tracks”); and behavioral health support across all programs. The Company was incorporated in the State of Delaware in April 2011, and its primary office is located in South San Francisco, California. The Company has a remote-first flexible work policy, which provides support and opportunities for employees to work remotely.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have been prepared in conformity with accounting principles generally accepted in the United States of America (“U.S. GAAP”). The consolidated financial statements include the accounts of Omada Health, Inc., its subsidiary, Physera,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Variable Interest Entity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determines at the inception of each arrangement whether an entity in which the Company has made an investment or in which the Company has other variable interests is considered a VIE. The professional corporation is considered a VIE since it does not have sufficient equity to finance its activities without additional subordinated financial support. An 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balance sheets as of December 31, 2025 and December 31, 2024 include assets of the consolidated VIE, which can only be used to settle obligations of the VIE, and liabilities of the consolidated VIE. As of December 31, 2025, after the elimination of intercompany transaction balances, assets of the consolidated VIE totaled $0.8 million, and liabilities of the consolidated VIE totaled $0.2 million. As of December 31, 2024, after the elimination of intercompany transaction balances, assets of the consolidated VIE totaled $0.9 million, and liabilities of the consolidated VIE totaled $0.2 million. </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27, 2025, the Company amended its restated certificate of incorporation, as amended, to effect a reverse stock split of shares of the Company’s common stock on a one-for-three basis (the “Reverse Stock Split”). The common stock warrants and options to purchase common stock were subsequently adjusted as a result of the Reverse Stock Split. All impacted share and per-share information included in these consolidated financial statements and notes thereto have been retroactively adjusted to give effect to the Reverse Stock Split. In connection with the one-for-three reverse split of the Company’s common stock effected on May 27, 2025, the conversion price for each series of the Company’s redeemable convertible preferred stock was adjusted such that each share of redeemable convertible preferred stock became convertible into one-third of a share of the Company’s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Initial Public Offering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June 9, 2025, the Company completed its initial public offering (the “IPO”) of 9,085,000 shares of its common stock, which includes the exercise in full by the underwriters of their option to purchase from the Company 1,185,000 shares of the Company’s common stock, at a price to the public of $19.00 per share. The gross proceeds to the Company from the IPO were $172.6 million and the net proceeds amounted to $151.6 million, after deducting underwriting discounts and commissions and offering expenses payable by the Company. Immediately prior to the closing of the IPO,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outstanding share of the Company’s Series A, Series B, Series C, Series C-1, Series D, Series D-1, and Series E redeemable convertible preferred stock, including shares of redeemable convertible preferred stock issued upon the exercise of Series B and Series D redeemable convertible preferred stock warrants, converted into one-third of a share of the Company’s common stock (see Note 8 for additional information).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income and expense during the reporting period. The Company’s significant estimates and assumptions made in the accompanying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prior to the Company’s IPO, the assessment of useful life and recoverability of long-lived assets, intangible assets and goodwill, the valuation of deferred tax assets, and reserves for uncertain tax positions. By their nature, estimates are subject to an inherent degree of uncertainty and actual results could differ from those estimates. The Company bases its estimates on historical experience and on various other assumptions that are believed to be reasonable.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Segment and Geographic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considers operating segments to be components of the Company in which separate financial information is available and is evaluated regularly by the Company’s chief operating decision maker (“CODM”) in deciding how to allocate resources and in assessing performance. The CODM for the Company is the Chief Executive Officer. The CODM reviews financial information on a consolidated basis to make decisions about how to allocate resources and how to measure the Company’s performance. The Company has determined that it has one operating and reportable segment (refer to Note 11 for additional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Concentrations of Credit Risk and Significant Customers and Channel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as of December 31, 2025 and December 31, 2024 or 10% or more of revenue for the years ended December 31, 2025, 2024 and 2023 were as follows:</w:t>
      </w:r>
    </w:p>
    <w:tbl>
      <w:tblPr>
        <w:tblW w:w="5560" w:type="dxa"/>
        <w:jc w:val="left"/>
        <w:tblInd w:w="0" w:type="dxa"/>
        <w:tblLayout w:type="fixed"/>
        <w:tblCellMar>
          <w:top w:w="28" w:type="dxa"/>
          <w:left w:w="28" w:type="dxa"/>
          <w:bottom w:w="28" w:type="dxa"/>
          <w:right w:w="28" w:type="dxa"/>
        </w:tblCellMar>
      </w:tblPr>
      <w:tblGrid>
        <w:gridCol w:w="315"/>
        <w:gridCol w:w="277"/>
        <w:gridCol w:w="278"/>
        <w:gridCol w:w="159"/>
        <w:gridCol w:w="159"/>
        <w:gridCol w:w="395"/>
        <w:gridCol w:w="159"/>
        <w:gridCol w:w="159"/>
        <w:gridCol w:w="159"/>
        <w:gridCol w:w="159"/>
        <w:gridCol w:w="159"/>
        <w:gridCol w:w="395"/>
        <w:gridCol w:w="109"/>
        <w:gridCol w:w="109"/>
        <w:gridCol w:w="109"/>
        <w:gridCol w:w="158"/>
        <w:gridCol w:w="158"/>
        <w:gridCol w:w="271"/>
        <w:gridCol w:w="109"/>
        <w:gridCol w:w="109"/>
        <w:gridCol w:w="109"/>
        <w:gridCol w:w="158"/>
        <w:gridCol w:w="158"/>
        <w:gridCol w:w="271"/>
        <w:gridCol w:w="109"/>
        <w:gridCol w:w="109"/>
        <w:gridCol w:w="109"/>
        <w:gridCol w:w="158"/>
        <w:gridCol w:w="158"/>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A</w:t>
            </w:r>
          </w:p>
        </w:tc>
        <w:tc>
          <w:tcPr>
            <w:tcW w:w="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B</w:t>
            </w:r>
          </w:p>
        </w:tc>
        <w:tc>
          <w:tcPr>
            <w:tcW w:w="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Partner A and Partner B are each affiliates of The Cigna Group (refer to Note 10 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Concentration of Supply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hardware consists primarily of finished goods that are sourced from various vendors. Additionally, the Company utilizes a limited number of suppliers to provide the data connectivity for its connected devices. Quality, performance, or connectivity failures of the products or changes in the vendors’ financial or business condition could disrupt the Company’s ability to supply quality products to its members and thereby have a material adverse impact on its business, financial condition, and results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on deposit in banks and highly liquid investments, including money market funds, purchased with an original maturity of three months or less.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1 inputs: Quoted prices for identical assets and liabilities in active markets.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2 inputs: Assets and liabilities based on observable market data for similar instruments, such as quoted prices for similar assets or liabilities or other inputs that are observable or can be corroborated by observable market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3 inputs: Unobservable inputs reflecting the Company’s assumptions, consistent with reasonably available assumptions made by other market participants. These valuations require judgment.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hierarchy also requires an entity to maximize the use of observable inputs and minimizes the use of unobservable inputs when measuring fair value.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accounts receivable are uncollateralized and are derived from customers and channel partners within the United States (“U.S.”), most of which are large self-insured enterprises, health plans, or PBMs. Accounts receivable are recorded at the invoiced amount, net of an allowance for credit losses. Accounts receivable includes amounts unbilled related to services provided during the period but not billed until subsequent to period end.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regularly monitors collections and payments from customers and channel partners and maintains an allowance for credit losses for estimated losses resulting from the inability of customers or channel partners to make required payments. Management estimates its allowance for credit losses by considering factors such as historical credit loss experience and current conditions, such as the length of time accounts receivable are past due, customer and channel partner payment histories, and any specific customer or channel partner collection issues identified, current market conditions which may affect customer or channel partner financial condition, and reasonable and supportable forecasts of future credit losses. The Company writes off accounts receivable against the allowance when management determines a balance is uncollectible and no longer actively pursues collection of the receivable.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consists of purchased connected third-party devices, including scales, blood glucose monitors, and blood pressure monitors. Inventory is stated at the lower-of-cost or net realizable value. Inventory cost is determined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weighted-average cost method, which approximates the actual cost on a first-in first-out basis. Net realizable value is the estimated selling price of the Company’s products in the ordinary course of business, less reasonably predictable costs of disposal and transportation. The carrying value of inventory is reduced for estimated excess and obsolete inventory. Excess and obsolete inventory reductions are determined based on assumptions about market and economic conditions, technology changes, new product introductions, and changes in strategic direction and are included in hardware cost of revenue in the accompanying consolidated statements of operations and comprehensive loss.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less accumulated depreciation. Depreciation expense is recorded on a straight-line basis over the estimated useful lives of the respective assets, which is generally three years. Leasehold improvements are depreciated over the shorter of the estimated useful lives of the assets or the lease term.</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Capitalized Internal-Use Software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Costs related to software acquired, developed, or modified solely to meet the Company’s internal requirements, with no substantive plans to market such software at the time of development, and costs related to development of web-based products are capitalized. Costs incurred during the preliminary planning and evaluation stage of the project and during the post-implementation operational stage are expensed as incurred. Costs incurred during the application development stage of the project are capitalized. Capitalized internal-use software costs are amortized on a straight-line basis over an expected useful life of three years and are included in property and equipment, net, on the consolidated balance sheets. For the years ended December 31, 2025 and 2024, the Company capitalized $4.7 million and $3.4 million, respectively, for software acquired, developed, and modified to meet internal requirements. Amortization expense related to capitalized internal-use software was $3.0 million, $2.2 million and $1.7 million during the years ended December 31, 2025, 2024, and 2023, respectively.</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Goodwill and Other Long-Lived Assets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estimated fair value of net assets of businesses acquired in a business combination. Goodwill amounts are not amortized. Goodwill is tested for impairment annually on the last day of each fiscal year or whenever events or changes in circumstances indicate the carrying amount of goodwill may not be recoverable. The Company operates as a single operating segment which is deemed to be its only reporting unit.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has the option to first perform a qualitative assessment to determine whether it is more likely than not that the fair value of the Company is less than the carrying amount, including goodwill. If it is determined that it is more likely than not that the fair value of the Company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 The Company also has the option to bypass the qualitative assessment and perform the quantitative assessment. No goodwill impairments were recorded in the years ended December 31, 2025, 2024 and 2023.</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right-of-use assets, and finite-lived intangible assets subject to amortization are reviewed for impairment whenever events or changes in circumstances indicate that the carrying amount of such assets may not be recoverable. Recoverability of assets to be held and used is measured by comparing the carrying amount to the estimated undiscounted future cash flows expected to be generated. If the carrying amount exceeds the undiscounted cash flows, an impairment charge is recognized as the amount by which the carrying amount exceeds its fair value. Intangible assets with finite lives are amortized on a straight-line basis over their estimated useful lives. No long-lived assets were determined to be impaired in the years ended December 31, 2025, 2024 and 2023.</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Redeemable Convertible Preferred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shares of redeemable convertible preferred stock at their respective fair values on the dates of issuance, net of issuance costs. The redeemable convertible preferred stock is recorded outside of permanent equity because while it is not mandatorily redeemable, redemption is contingent upon the occurrence of certain events that are not solely within the Company’s control. The Company has not adjusted the carrying values of the redeemable convertible preferred stock to the liquidation preferences of such shares because it is uncertain whether or when a deemed liquidation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would occur that would obligate the Company to pay the liquidation preferences to holders of shares of redeemable convertible preferred stock. Subsequent adjustments of the carrying values to the liquidation preferences will be made only when it becomes probable that such a deemed liquidation event will occur.</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Redeemable Convertible Preferred Stock and Common Stock Warrants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accounts for warrants as either equity-classified or liability-classified instruments based on an assessment of the warrant’s specific terms and applicable authoritative guidance in Accounting Standards Codification (“ASC”) 480, Distinguishing Liabilities from Equity, and ASC 815, Derivatives and Hedging. The Company has issued redeemable convertible preferred stock and common stock warrants which are classified as a liability on the consolidated balance sheets because the redeemable convertible preferred stock warrants are freestanding financial instruments that may require the Company to transfer assets upon exercise, and the common stock warrants contain a term that may require adjustment to the exercise price. The liability associated with each of these warrants was initially recorded at fair value upon the issuance date of each warrant and is subsequently remeasured to fair value at each reporting date. Changes in the fair value of the warrant liabilities are recognized in the consolidated statements of operations and comprehensive loss. The warrant fair values will continue to be adjusted until the earlier of the expiration or exercise of the warrants.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uses the Black-Scholes option-pricing model, which incorporates assumptions and estimates, to value the redeemable convertible preferred stock and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the Company does not anticipate paying any cash dividends in the foreseeable future.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Commitments and Contingencies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Liabilities for loss contingencies arising from claims, assessments, litigation, fines, penalties, and other sources are recorded when it is probable that a liability has been incurred and the amount of loss can be reasonably estimated.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incurred in connection with loss contingencies are expensed as incurred.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upon transfer of control of promised goods and services in an amount that reflects the consideration it expects to be entitled to receive in exchange for those goods and services. Under ASC 606, Revenue from Contracts with Customers (“ASC 606”),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generates revenue primarily by providing access to virtual care programs to customers’ members, which is referred to as services revenue. The services revenue is recognized over the period the Company is obligated to perform services for that member. The Company’s customers are business entities, such as health plans and self-insured employers, that have contracted with the Company to offer the virtual care programs to their covered lives. Covered lives, such as employees or their covered dependents, that are enrolled in a program are referred to as members. In the virtual care programs, Care Teams implement clinically validated behavior change protocols over the term of the program for individuals living with chronic conditions, such as cardiometabolic conditions, or living with MSK conditions. Cardiometabolic virtual care programs are also supported by one or more connected third-party devices, which are provided to the members upon enrollment in the programs. The Company accounts for each member enrollment as a separate contract under ASC 606. The Company’s agreements typically provide a termination for convenience by either party, with a notice period generally ranging from 30 to 180 days. The Company typically bills for its services monthly, in arrears, and the transaction price is net of sales tax collected.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sells to its customers through its direct sales force and through its channel partners. Channel partners include PBMs and health plans that have commercial relationships with the Company’s customers. Pursuant to the Company’s agreements with channel partners, some channel partners receive an administrative or marketing fee for their services, and the Company engages directly with its customers with respect to the provision of its services. The Company’s customer acquisition teams work directly with customers on onboarding and enrollment processes for new members. While health plans are customers for their fully insured populations, they also serve as distribution channels to self-insured entities that contract with the Company through its relationship with the health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cardiometabolic programs, the transaction price includes monthly fees which are either activity-, outcome-, or milestone-based fees, as applicable, for the respective member service period and may include an upfront member enrollment fee. Variable consideration related to the activity-, outcome-, or milestone-based fees is estimated at contract inception for the non-cancelable term (ranging from 30 to 180 days) to the extent a significant reversal in revenue will not occur. The Company uses the expected value method, primarily relying on its history, to estimate variable consideration, including service-level agreements and performance guarantees based on clinical outcomes. Changes to estimated variable consideration were not material for the periods presented given the relatively short non-cancelable term. Reassessments of variable consideration may occur as historical information changes.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transaction price allocated to services is recognized over time during the non-cancelable term as a stand-ready obligation. Contracts that include upfront enrollment fees generally contain a material right related to the discounted renewal option. The allocated value for that right is recognized upon exercise over the estimated benefit period, typically 12 months.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Monthly service fees earned after the non-cancelable contract term are recognized over the period for which the Company is obligated to perform services for that member.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sale of third-party connected devices associated with its services as a separate performance obligation when control transfers, which is generally upon shipment to the member. Associated shipping and handling fees are included in cost of revenue and are recognized as activities to fulfill the promise to transfer the good.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determines SSP based on observable, if available, prices for those related services when sold separately. When such observable prices are not available, the Company determines SSP based on information such as pricing objectives and strategies, taking into consideration market conditions and other factors, including customer size, volume purchased, market and industry conditions, product-specific factors, and historical sales of the deliverables.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applies the practical expedient to not disclose the value of unsatisfied performance obligations for contracts with an original expected length of one year or less.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future performance obligations beyond one year were not material.</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assets include amounts related to the Company’s enforceable right to consideration for completed performance obligations that cannot be invoiced yet under the terms of the contract. Contract assets relate primarily to hardware revenue that is recognized upon shipment and has not yet been invoiced. The contract assets are reclassified to accounts receivable, net when the rights become unconditional. As of December 31, 2025 and December 31, 2024, the Company had $0.6 million and $0.5 million short-term contract assets, respectively, included in prepaid expenses and other current assets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Deferred Commissions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commissions are generally considered incremental and recoverable costs of obtaining a contract with a customer or channel partner. Capitalized commissions are amortized based on the transfer of goods or services to which they relate, typically over five years. The Company determines the period of benefit by taking into consideration the terms of contracts with customers and channel partners, contract renewal rates, its technology, and other factors. Amortization of deferred commissions is recorded as sales and marketing expense in the consolidated statements of operations and comprehensive loss.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commissions as of December 31, 2025 and 2024 were $12.3 million and $12.2 million, respectively, consisting of costs to obtain contracts net of accumulated amortization. The Company recorded amortization expense for deferred commissions of $3.3 million, $2.6 million, and $1.8 million during the years ended December 31, 2025, 2024, and 2023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December 31, 2025 and December 31, 2024, deferred revenue was classified as a current liability based on the anticipated recognition period of twelve months or less. During the years ended December 31, 2025 and 2024, respectively, the Company recognized revenue of $19.5 million and $14.9 million that was included in the corresponding deferred revenue balance at the beginning of the year.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Deferred Offering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offering costs, consisting of legal, accounting, and other fees and costs relating to the IPO are capitalized within other assets on the consolidated balance sheets. The deferred offering costs were offset against the proceeds received by the Company upon the closing of the IPO. At the closing of the IPO, $9.0 million of deferred offering costs were reclassified to additional paid-in capital within stockholders’ equity (deficit) and $0 and $4.8 million of IPO costs were deferred and capitalized as of December 31, 2025 and 2024,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expenses that are directly related to or closely correlated to the delivery of our virtual care programs and member support. Cost of services revenue include salaries, share-based compensation expense, employee bonus and benefits, data server management expense, hosting costs, connectivity fees for cellular devices, and the amortization of capitalized internal-use software and developed technology. Costs of hardware include salaries, share-based compensation expense, employee bonuses and benefits, equipment costs, shipping and logistics costs, and provisions for excess and obsolete inventory.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The Company’s research and development (“R&amp;D”) expenses support its efforts to add new features and content to its programs and to ensure the reliability and scalability of its virtual care platform. R&amp;D costs include salaries, share-based compensation expense, employee bonus and benefits, hosting costs, and allocation of shared general corporate expenses primarily related to technology. R&amp;D costs are expensed as incurred.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Sales and Marketing Expenses</w:t>
      </w:r>
    </w:p>
    <w:p>
      <w:pPr>
        <w:pStyle w:val="TextBody"/>
        <w:bidi w:val="0"/>
        <w:spacing w:lineRule="auto" w:line="288"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 costs including salaries, share-based compensation expense, employee bonuses and benefits, commissions for the Company’s sales and marketing teams, reseller fees, promotional marketing materials, and advertising costs. Sales and marketing expenses also include costs for third-party consulting services and the allocation of shared general corporate expenses primarily related to technology. Advertising costs are expensed as incurred and are included in sales and marketing expense in the accompanying consolidated statements of operations and comprehensive loss. Advertising costs during the years ended December 31, 2025, 2024 and 2023 were $0.6 million, $0.5 million, and $0.8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5" w:before="1"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 costs including salaries, share-based compensation expense, employee bonuses and benefits related to the Company’s finance, legal, compliance, human resources, and administrative teams, software and infrastructure costs, professional fees,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5"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on awards granted under two Equity Incentive Plans, which are described in more detail in Note 9.</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measures compensation expense for all share-based awards based on the estimated fair value of the award on the grant date. The Company’s equity incentive plan provides for the granting of stock options, restricted stock units (“RSUs”), and restricted stock awards to employees, consultants, officers, and directors. The fair value is recognized as expense over the requisite service period, which is generally the vesting period of the respective awards.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RSUs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fair value of each RSU is based on the fair value of the Company’s common stock, which is traded on the Nasdaq, on the date of grant.</w:t>
      </w:r>
    </w:p>
    <w:p>
      <w:pPr>
        <w:pStyle w:val="TextBody"/>
        <w:bidi w:val="0"/>
        <w:spacing w:lineRule="auto" w:line="288" w:before="0" w:after="240"/>
        <w:ind w:left="0" w:right="0" w:hanging="36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fair value of stock options issued to employees on the date of grant using the Black-Scholes option pricing model which is impacted by the estimated fair value of the Company’s common stock, as well as changes in assumptions regarding a number of highly complex and subjective variables. These variables are summarized as follows:</w:t>
      </w:r>
    </w:p>
    <w:p>
      <w:pPr>
        <w:pStyle w:val="TextBody"/>
        <w:bidi w:val="0"/>
        <w:spacing w:lineRule="auto" w:line="285" w:before="0" w:after="240"/>
        <w:ind w:left="0" w:right="0" w:firstLine="435"/>
        <w:jc w:val="both"/>
        <w:rPr/>
      </w:pPr>
      <w:r>
        <w:rPr>
          <w:rFonts w:ascii="Times New Roman;serif" w:hAnsi="Times New Roman;serif"/>
          <w:b w:val="false"/>
          <w:i/>
          <w:color w:val="000000"/>
          <w:sz w:val="20"/>
        </w:rPr>
        <w:t xml:space="preserve">Fair value of common stock </w:t>
      </w:r>
      <w:r>
        <w:rPr>
          <w:color w:val="000000"/>
        </w:rPr>
        <w:t xml:space="preserve">– </w:t>
      </w:r>
      <w:r>
        <w:rPr>
          <w:rFonts w:ascii="Times New Roman;serif" w:hAnsi="Times New Roman;serif"/>
          <w:b w:val="false"/>
          <w:color w:val="000000"/>
          <w:sz w:val="20"/>
        </w:rPr>
        <w:t>After the Company’s IPO, the fair value of the stock options is determined using the closing price of the Company’s common stock. Prior to the IPO, as the Company’s common stock was not yet publicly traded, the fair value of the common stock underlying the Company’s share-based awards was determined by the Company’s board of directors, with input from management and the assistance of a third-party valuation firm. These inputs included, but were not limited to (i) contemporaneous third-party valuations of common stock; (ii) the rights and preferences of the Company’s preferred stock relative to common stock; (iii) the lack of marketability of common stock; (iv) developments in the business; and (v) the likelihood and timing of achieving a liquidity event, such as an IPO or sale of the Company, given prevailing market conditions.</w:t>
      </w:r>
    </w:p>
    <w:p>
      <w:pPr>
        <w:pStyle w:val="TextBody"/>
        <w:bidi w:val="0"/>
        <w:spacing w:lineRule="auto" w:line="285"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In determining the fair value of the Company’s common stock prior to the Company’s IPO, the fair value of the Company’s business was determined using various valuation methods, including combinations of the income approach (discounted cash flow method) and the market approach (public company market-multiple method) with input from the Company. The income approach involves applying an appropriate risk-adjusted discount rate to projected cash flows based on forecasted revenue and costs. The market approach estimates value based on a comparison of the Company to comparable public companies in a similar line of business. From the comparable companies, a representative market-value multiple was determined, which was applied to the Company’s operating results to estimate the enterprise value of the Company.</w:t>
      </w:r>
    </w:p>
    <w:p>
      <w:pPr>
        <w:pStyle w:val="TextBody"/>
        <w:bidi w:val="0"/>
        <w:spacing w:lineRule="auto" w:line="28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Once the enterprise value was determined under the market approach, the Company derived the equity value of the Company and used the option-pricing model to allocate that value across the various classes of securities to arrive at the fair value of the common stock. Following the Company’s IPO, there is an active market for its common stock which is utilized to measure the fair value of the Company’s underlying shares.</w:t>
      </w:r>
    </w:p>
    <w:p>
      <w:pPr>
        <w:pStyle w:val="TextBody"/>
        <w:bidi w:val="0"/>
        <w:spacing w:lineRule="auto" w:line="285" w:before="0" w:after="240"/>
        <w:ind w:left="0" w:right="0" w:firstLine="435"/>
        <w:jc w:val="both"/>
        <w:rPr/>
      </w:pPr>
      <w:r>
        <w:rPr>
          <w:rFonts w:ascii="Times New Roman;serif" w:hAnsi="Times New Roman;serif"/>
          <w:b w:val="false"/>
          <w:i/>
          <w:color w:val="000000"/>
          <w:sz w:val="20"/>
        </w:rPr>
        <w:t xml:space="preserve">Expected volatility </w:t>
      </w:r>
      <w:r>
        <w:rPr>
          <w:color w:val="000000"/>
        </w:rPr>
        <w:t xml:space="preserve">– </w:t>
      </w:r>
      <w:r>
        <w:rPr>
          <w:rFonts w:ascii="Times New Roman;serif" w:hAnsi="Times New Roman;serif"/>
          <w:b w:val="false"/>
          <w:color w:val="000000"/>
          <w:sz w:val="20"/>
        </w:rPr>
        <w:t>Expected volatility is a measure of the amount by which the stock price is expected to fluctuate. Since the Company does not have sufficient trading history of its common stock, it estimates the expected volatility of its stock options at their grant date by taking the weighted-average historical volatility of a group of comparable publicly traded companies over a period equal to the expected life of the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5" w:before="0" w:after="240"/>
        <w:ind w:left="0" w:right="0" w:firstLine="435"/>
        <w:jc w:val="both"/>
        <w:rPr/>
      </w:pPr>
      <w:r>
        <w:rPr>
          <w:rFonts w:ascii="Times New Roman;serif" w:hAnsi="Times New Roman;serif"/>
          <w:b w:val="false"/>
          <w:i/>
          <w:color w:val="000000"/>
          <w:sz w:val="20"/>
        </w:rPr>
        <w:t xml:space="preserve">Expected term </w:t>
      </w:r>
      <w:r>
        <w:rPr>
          <w:color w:val="000000"/>
        </w:rPr>
        <w:t xml:space="preserve">– </w:t>
      </w:r>
      <w:r>
        <w:rPr>
          <w:rFonts w:ascii="Times New Roman;serif" w:hAnsi="Times New Roman;serif"/>
          <w:b w:val="false"/>
          <w:color w:val="000000"/>
          <w:sz w:val="20"/>
        </w:rPr>
        <w:t>Expected term represents the period over which the Company anticipates share-based awards to be outstanding. For awards with the standard 90-day exercise period, the Company uses the simplified method to calculate the expected term estimate based on the options’ vesting term and contractual terms. Under the simplified method, the expected life is equal to the average of the share-based award’s weighted-average vesting period and its contractual term. For those awards with an extended post-termination exercise period, the Company calculates the expected term based on the options’ vesting term, tenure of the employee upon grant, and contractual terms.</w:t>
      </w:r>
    </w:p>
    <w:p>
      <w:pPr>
        <w:pStyle w:val="TextBody"/>
        <w:bidi w:val="0"/>
        <w:spacing w:lineRule="auto" w:line="285" w:before="0" w:after="240"/>
        <w:ind w:left="0" w:right="0" w:firstLine="435"/>
        <w:jc w:val="both"/>
        <w:rPr/>
      </w:pPr>
      <w:r>
        <w:rPr>
          <w:rFonts w:ascii="Times New Roman;serif" w:hAnsi="Times New Roman;serif"/>
          <w:b w:val="false"/>
          <w:i/>
          <w:color w:val="000000"/>
          <w:sz w:val="20"/>
        </w:rPr>
        <w:t xml:space="preserve">Risk-free interest rate </w:t>
      </w:r>
      <w:r>
        <w:rPr>
          <w:color w:val="000000"/>
        </w:rPr>
        <w:t xml:space="preserve">– </w:t>
      </w:r>
      <w:r>
        <w:rPr>
          <w:rFonts w:ascii="Times New Roman;serif" w:hAnsi="Times New Roman;serif"/>
          <w:b w:val="false"/>
          <w:color w:val="000000"/>
          <w:sz w:val="20"/>
        </w:rPr>
        <w:t>The risk-free interest rate used is based on the implied yield in effect at the time of grant of U.S. Treasury securities with maturities similar to the expected term of the stock options.</w:t>
      </w:r>
    </w:p>
    <w:p>
      <w:pPr>
        <w:pStyle w:val="TextBody"/>
        <w:bidi w:val="0"/>
        <w:spacing w:lineRule="auto" w:line="285" w:before="1" w:after="240"/>
        <w:ind w:left="0" w:right="0" w:firstLine="435"/>
        <w:jc w:val="both"/>
        <w:rPr/>
      </w:pPr>
      <w:r>
        <w:rPr>
          <w:rFonts w:ascii="Times New Roman;serif" w:hAnsi="Times New Roman;serif"/>
          <w:b w:val="false"/>
          <w:i/>
          <w:color w:val="000000"/>
          <w:sz w:val="20"/>
        </w:rPr>
        <w:t xml:space="preserve">Expected dividend yield </w:t>
      </w:r>
      <w:r>
        <w:rPr>
          <w:color w:val="000000"/>
        </w:rPr>
        <w:t xml:space="preserve">– </w:t>
      </w:r>
      <w:r>
        <w:rPr>
          <w:rFonts w:ascii="Times New Roman;serif" w:hAnsi="Times New Roman;serif"/>
          <w:b w:val="false"/>
          <w:color w:val="000000"/>
          <w:sz w:val="20"/>
        </w:rPr>
        <w:t>The dividend yield is zero as the Company has not declared or paid any dividends to date and does not currently expect to do so in the future.</w:t>
      </w:r>
    </w:p>
    <w:p>
      <w:pPr>
        <w:pStyle w:val="TextBody"/>
        <w:bidi w:val="0"/>
        <w:spacing w:lineRule="auto" w:line="285"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The Company accounts for forfeitures when they occur. For share-based awards that are modified, a modification of the terms of a share-based award is treated as an exchange of the original award for a new award with total compensation cost equal to the grant-date fair value of the original award plus any incremental value of the modification to the award.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288"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Comprehensive loss is defined as the change in equity of a business during a period from transactions and other events and circumstances from non-owner sources. Comprehensive loss includes net loss as well as other changes in stockholders’ deficit which includes certain changes in equity that are excluded from net loss. To date, the Company has not had any transactions that are required to be reported in comprehensive loss other than the net loss incurred from operations. For the years ended December 31, 2025, 2024 and 2023, there was no difference between comprehensive loss and net loss.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taxes in the United States and various state jurisdictions. Significant judgment is required in determining the Company’s provision for income taxes and income tax assets and liabilities, including evaluating uncertainties in the application of accounting principles and complex tax laws.</w:t>
      </w:r>
    </w:p>
    <w:p>
      <w:pPr>
        <w:pStyle w:val="TextBody"/>
        <w:bidi w:val="0"/>
        <w:spacing w:lineRule="auto" w:line="288"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asset and liability method. Current income tax expense or benefit represents the amount of income taxes expected to be payable or refundable for the current year. Deferred income tax assets and liabilities are recognized for the expected future tax consequences attributable to differences between the financial statement carrying amounts and the tax bases of assets and liabilities, as well as for net operating loss and tax credit carryforwards.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w:t>
      </w:r>
    </w:p>
    <w:p>
      <w:pPr>
        <w:pStyle w:val="TextBody"/>
        <w:bidi w:val="0"/>
        <w:spacing w:lineRule="auto" w:line="288"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in accordance with ASC 740-10, Accounting for Uncertainty in Income Taxes. The Company recognizes the tax effects of an uncertain tax position only when it is more likely than not that the position will be sustained upon examination based on its technical merits. The amount recognized is the largest amount of tax benefit that is more likely than not to be realized upon settlement with the relevant taxing authority.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Loss Per Share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(“basic EPS”) is calculated by dividing income (loss) available to common stockholders by the weighted-average number of shares of common stock outstanding during the period. Diluted earnings (loss) per share (“diluted EPS”) adjusts basic EPS for the impact of potentially dilutive shares using the treasury stock method. Potentially dilutive shares include outstanding stock options, non-vested RSUs, and purchase rights granted under the ESPP. In periods in which there is a loss, potentially dilutive securities are not included in the calculation of diluted EPS as their impact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Financial Accounting Standards Board (“FASB”) under its ASC or other standard-setting bodies.</w:t>
      </w:r>
    </w:p>
    <w:p>
      <w:pPr>
        <w:pStyle w:val="TextBody"/>
        <w:bidi w:val="0"/>
        <w:spacing w:lineRule="auto" w:line="288"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 Accounting Pronouncements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Income Taxes (Topic 740): Improvements to Income Tax Disclosures (“ASU 2023-09”). ASU 2023-09 enhances income tax disclosure by requiring additional disaggregation of the effective tax rate reconciliation and expanded disclosures related to income taxes paid. The amendments are effective for public business entities for annual periods beginning after December 15, 2024, and may be applied on a prospective or retrospective basis.. Early adoption is permitted.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adopted the provisions of ASU 2023-09 on a prospective basis effective January 1, 2025. The adoption did not have a material impact on the Company’s consolidated financial position, results of operations, or cash flows; however, it resulted in expanded and modified income tax disclosures, including changes to the presentation of the effective tax rate reconciliation.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2025, the FASB issued ASU 2025-05, Financial Instruments—Credit Losses (Topic 326), which lets entities estimate credit losses on trade receivables and contract assets using adjusted historical loss data and, optionally, exclude expected recoveries. The update is effective for fiscal years beginning after December 15, 2025 (early adoption permitted) and is applied prospectively without a preferability assessment for non-public entities adopting after the effective date. The Company adopted the provisions of ASU 2025-05 on a prospective basis for the fiscal year ended December 31, 2025 and such adoption did not have a material impact on its consolidated financial statements and disclosures.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Early adoption is permitted. The requirements will be applied prospectively with the option for retrospective application. The Company is currently evaluating the impact of the new standard on its consolidated financial statement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and Website Development Costs (Subtopic 350-50): Modernization of Guidance for Internal-Use Software. The update streamlines the cost-capitalization model for internal-use software by redefining project stages, focusing capitalization on costs incurred after “significant development uncertainty” is resolved, and eliminating the standalone website-development guidance. ASU 2025-06 is effective for annual reporting periods beginning after December 15, 2027 and interim periods within those annual periods; early adoption is permitted. Entities may apply the guidance prospectively or use a modified transition approach that records a cumulative-effect adjustment at adoption. The Company is currently evaluating the impact of the new standard on its consolidated financial statements and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The amendments in this update are effective for interim reporting periods within annual reporting periods beginning after December 15, 2027 for public business entities. Early adoption is permitted. The requirements will be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prospectively with the option for retrospective application. The Company is currently evaluating the impact of the new standard on its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measured at fair value on a recurring basis based on the fair value hierarchy as follows (in thousands):</w:t>
      </w:r>
    </w:p>
    <w:tbl>
      <w:tblPr>
        <w:tblW w:w="6840" w:type="dxa"/>
        <w:jc w:val="left"/>
        <w:tblInd w:w="0" w:type="dxa"/>
        <w:tblLayout w:type="fixed"/>
        <w:tblCellMar>
          <w:top w:w="28" w:type="dxa"/>
          <w:left w:w="28" w:type="dxa"/>
          <w:bottom w:w="28" w:type="dxa"/>
          <w:right w:w="28" w:type="dxa"/>
        </w:tblCellMar>
      </w:tblPr>
      <w:tblGrid>
        <w:gridCol w:w="818"/>
        <w:gridCol w:w="720"/>
        <w:gridCol w:w="726"/>
        <w:gridCol w:w="211"/>
        <w:gridCol w:w="826"/>
        <w:gridCol w:w="109"/>
        <w:gridCol w:w="109"/>
        <w:gridCol w:w="109"/>
        <w:gridCol w:w="109"/>
        <w:gridCol w:w="250"/>
        <w:gridCol w:w="250"/>
        <w:gridCol w:w="129"/>
        <w:gridCol w:w="109"/>
        <w:gridCol w:w="109"/>
        <w:gridCol w:w="109"/>
        <w:gridCol w:w="250"/>
        <w:gridCol w:w="250"/>
        <w:gridCol w:w="129"/>
        <w:gridCol w:w="109"/>
        <w:gridCol w:w="109"/>
        <w:gridCol w:w="109"/>
        <w:gridCol w:w="211"/>
        <w:gridCol w:w="82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37" w:type="dxa"/>
        <w:jc w:val="left"/>
        <w:tblInd w:w="0" w:type="dxa"/>
        <w:tblLayout w:type="fixed"/>
        <w:tblCellMar>
          <w:top w:w="28" w:type="dxa"/>
          <w:left w:w="28" w:type="dxa"/>
          <w:bottom w:w="28" w:type="dxa"/>
          <w:right w:w="28" w:type="dxa"/>
        </w:tblCellMar>
      </w:tblPr>
      <w:tblGrid>
        <w:gridCol w:w="818"/>
        <w:gridCol w:w="720"/>
        <w:gridCol w:w="726"/>
        <w:gridCol w:w="211"/>
        <w:gridCol w:w="721"/>
        <w:gridCol w:w="109"/>
        <w:gridCol w:w="109"/>
        <w:gridCol w:w="109"/>
        <w:gridCol w:w="109"/>
        <w:gridCol w:w="250"/>
        <w:gridCol w:w="250"/>
        <w:gridCol w:w="129"/>
        <w:gridCol w:w="109"/>
        <w:gridCol w:w="109"/>
        <w:gridCol w:w="109"/>
        <w:gridCol w:w="211"/>
        <w:gridCol w:w="616"/>
        <w:gridCol w:w="109"/>
        <w:gridCol w:w="109"/>
        <w:gridCol w:w="109"/>
        <w:gridCol w:w="109"/>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3 liabilities that are measured at fair value on a recurring basis consist of redeemable convertible preferred stock warrant liabilities and common stock warrant liabilities associated with warrants issued in connection with the Company’s financing arrangements (refer to Note 6 and Note 8 for additional information). The Company’s previously outstanding Series B redeemable convertible preferred stock warrants were automatically cashless exercised on May 19, 2025, and the Company’s previously outstanding Series D redeemable convertible preferred stock warrants were cashless exercised on June 9, 2025. The shares of Series B and Series D redeemable convertible preferred stock issued in connection with such warrant exercises were subsequently converted into shares of the Company’s common stock in connection with the IPO on June 9, 2025. Accordingly, no preferred stock warrant liabilities remained outstanding as of December 31,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previously outstanding common stock warrants were cashless exercised on July 18, 2025 into shares of the Company’s common stock (see Note 8 for additional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quantitative information regarding Level 3 fair value measurements of the warrant liabilities:</w:t>
      </w:r>
    </w:p>
    <w:tbl>
      <w:tblPr>
        <w:tblW w:w="5898" w:type="dxa"/>
        <w:jc w:val="left"/>
        <w:tblInd w:w="0" w:type="dxa"/>
        <w:tblLayout w:type="fixed"/>
        <w:tblCellMar>
          <w:top w:w="28" w:type="dxa"/>
          <w:left w:w="28" w:type="dxa"/>
          <w:bottom w:w="28" w:type="dxa"/>
          <w:right w:w="28" w:type="dxa"/>
        </w:tblCellMar>
      </w:tblPr>
      <w:tblGrid>
        <w:gridCol w:w="803"/>
        <w:gridCol w:w="705"/>
        <w:gridCol w:w="712"/>
        <w:gridCol w:w="211"/>
        <w:gridCol w:w="511"/>
        <w:gridCol w:w="271"/>
        <w:gridCol w:w="109"/>
        <w:gridCol w:w="109"/>
        <w:gridCol w:w="109"/>
        <w:gridCol w:w="211"/>
        <w:gridCol w:w="511"/>
        <w:gridCol w:w="271"/>
        <w:gridCol w:w="109"/>
        <w:gridCol w:w="109"/>
        <w:gridCol w:w="109"/>
        <w:gridCol w:w="211"/>
        <w:gridCol w:w="511"/>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term (in years)</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changes in fair value of Level 3 liabilities (in thousands):</w:t>
      </w:r>
    </w:p>
    <w:tbl>
      <w:tblPr>
        <w:tblW w:w="6636" w:type="dxa"/>
        <w:jc w:val="left"/>
        <w:tblInd w:w="0" w:type="dxa"/>
        <w:tblLayout w:type="fixed"/>
        <w:tblCellMar>
          <w:top w:w="28" w:type="dxa"/>
          <w:left w:w="28" w:type="dxa"/>
          <w:bottom w:w="28" w:type="dxa"/>
          <w:right w:w="28" w:type="dxa"/>
        </w:tblCellMar>
      </w:tblPr>
      <w:tblGrid>
        <w:gridCol w:w="2048"/>
        <w:gridCol w:w="1797"/>
        <w:gridCol w:w="1810"/>
        <w:gridCol w:w="211"/>
        <w:gridCol w:w="616"/>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warrant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warrant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Cashless exercise of redeemable convertible preferred stock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Cashless exercise of outstanding common stock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transfers among Level 1, Level 2, and Level 3 classifications as of the actual date of the events or change in circumstances that caused the transfers. There were no transfers between fair value measurement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80"/>
        <w:jc w:val="both"/>
        <w:rPr>
          <w:rFonts w:ascii="Times New Roman;serif" w:hAnsi="Times New Roman;serif"/>
          <w:b/>
          <w:color w:val="000000"/>
          <w:sz w:val="20"/>
        </w:rPr>
      </w:pPr>
      <w:r>
        <w:rPr>
          <w:rFonts w:ascii="Times New Roman;serif" w:hAnsi="Times New Roman;serif"/>
          <w:b/>
          <w:color w:val="000000"/>
          <w:sz w:val="20"/>
        </w:rPr>
        <w:t>4.Goodwill and Intangible Assets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goodwill was $13.2 million. No goodwill impairments were recorded during the years ended December 31, 2025 and 2024 or to date.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Intangible assets with finite lives consisted of the following as of December 31, 2024 and 2025 (in thousands):</w:t>
      </w:r>
    </w:p>
    <w:tbl>
      <w:tblPr>
        <w:tblW w:w="4989" w:type="dxa"/>
        <w:jc w:val="left"/>
        <w:tblInd w:w="0" w:type="dxa"/>
        <w:tblLayout w:type="fixed"/>
        <w:tblCellMar>
          <w:top w:w="28" w:type="dxa"/>
          <w:left w:w="28" w:type="dxa"/>
          <w:bottom w:w="28" w:type="dxa"/>
          <w:right w:w="28" w:type="dxa"/>
        </w:tblCellMar>
      </w:tblPr>
      <w:tblGrid>
        <w:gridCol w:w="994"/>
        <w:gridCol w:w="874"/>
        <w:gridCol w:w="877"/>
        <w:gridCol w:w="211"/>
        <w:gridCol w:w="616"/>
        <w:gridCol w:w="109"/>
        <w:gridCol w:w="109"/>
        <w:gridCol w:w="109"/>
        <w:gridCol w:w="109"/>
        <w:gridCol w:w="211"/>
        <w:gridCol w:w="61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was $1.9 million, $2.0 million, and $2.0 million during the years ended December 31, 2025, 2024, and 2023, respectively. The weighted-average remaining useful life of the developed technology as of December 31, 2025 was 1.4 years. The customer relationships and trademarks were fully amortized as of December 31,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as of December 31, 2025 is as follows (in thousands):</w:t>
      </w:r>
    </w:p>
    <w:tbl>
      <w:tblPr>
        <w:tblW w:w="3846" w:type="dxa"/>
        <w:jc w:val="left"/>
        <w:tblInd w:w="0" w:type="dxa"/>
        <w:tblLayout w:type="fixed"/>
        <w:tblCellMar>
          <w:top w:w="28" w:type="dxa"/>
          <w:left w:w="28" w:type="dxa"/>
          <w:bottom w:w="28" w:type="dxa"/>
          <w:right w:w="28" w:type="dxa"/>
        </w:tblCellMar>
      </w:tblPr>
      <w:tblGrid>
        <w:gridCol w:w="1038"/>
        <w:gridCol w:w="910"/>
        <w:gridCol w:w="917"/>
        <w:gridCol w:w="211"/>
        <w:gridCol w:w="61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5.Consolidated Balance Sheet Components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004" w:type="dxa"/>
        <w:jc w:val="left"/>
        <w:tblInd w:w="0" w:type="dxa"/>
        <w:tblLayout w:type="fixed"/>
        <w:tblCellMar>
          <w:top w:w="28" w:type="dxa"/>
          <w:left w:w="28" w:type="dxa"/>
          <w:bottom w:w="28" w:type="dxa"/>
          <w:right w:w="28" w:type="dxa"/>
        </w:tblCellMar>
      </w:tblPr>
      <w:tblGrid>
        <w:gridCol w:w="924"/>
        <w:gridCol w:w="812"/>
        <w:gridCol w:w="814"/>
        <w:gridCol w:w="211"/>
        <w:gridCol w:w="721"/>
        <w:gridCol w:w="109"/>
        <w:gridCol w:w="109"/>
        <w:gridCol w:w="109"/>
        <w:gridCol w:w="109"/>
        <w:gridCol w:w="211"/>
        <w:gridCol w:w="7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Billed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rollforward of the Company’s allowance for credit losses is as follows (in thousands):</w:t>
      </w:r>
    </w:p>
    <w:tbl>
      <w:tblPr>
        <w:tblW w:w="5139" w:type="dxa"/>
        <w:jc w:val="left"/>
        <w:tblInd w:w="0" w:type="dxa"/>
        <w:tblLayout w:type="fixed"/>
        <w:tblCellMar>
          <w:top w:w="28" w:type="dxa"/>
          <w:left w:w="28" w:type="dxa"/>
          <w:bottom w:w="28" w:type="dxa"/>
          <w:right w:w="28" w:type="dxa"/>
        </w:tblCellMar>
      </w:tblPr>
      <w:tblGrid>
        <w:gridCol w:w="994"/>
        <w:gridCol w:w="874"/>
        <w:gridCol w:w="877"/>
        <w:gridCol w:w="211"/>
        <w:gridCol w:w="691"/>
        <w:gridCol w:w="109"/>
        <w:gridCol w:w="109"/>
        <w:gridCol w:w="109"/>
        <w:gridCol w:w="109"/>
        <w:gridCol w:w="211"/>
        <w:gridCol w:w="691"/>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and write-offs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174" w:type="dxa"/>
        <w:jc w:val="left"/>
        <w:tblInd w:w="0" w:type="dxa"/>
        <w:tblLayout w:type="fixed"/>
        <w:tblCellMar>
          <w:top w:w="28" w:type="dxa"/>
          <w:left w:w="28" w:type="dxa"/>
          <w:bottom w:w="28" w:type="dxa"/>
          <w:right w:w="28" w:type="dxa"/>
        </w:tblCellMar>
      </w:tblPr>
      <w:tblGrid>
        <w:gridCol w:w="1422"/>
        <w:gridCol w:w="1249"/>
        <w:gridCol w:w="1259"/>
        <w:gridCol w:w="211"/>
        <w:gridCol w:w="616"/>
        <w:gridCol w:w="109"/>
        <w:gridCol w:w="109"/>
        <w:gridCol w:w="109"/>
        <w:gridCol w:w="109"/>
        <w:gridCol w:w="211"/>
        <w:gridCol w:w="616"/>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software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Short-term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tLeast" w:line="199"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Inventory is comprised of finished goods inventory. There was no reserve for excess and obsolete inventory recorded as of December 31,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(in thousands):</w:t>
      </w:r>
    </w:p>
    <w:tbl>
      <w:tblPr>
        <w:tblW w:w="5933" w:type="dxa"/>
        <w:jc w:val="left"/>
        <w:tblInd w:w="0" w:type="dxa"/>
        <w:tblLayout w:type="fixed"/>
        <w:tblCellMar>
          <w:top w:w="28" w:type="dxa"/>
          <w:left w:w="28" w:type="dxa"/>
          <w:bottom w:w="28" w:type="dxa"/>
          <w:right w:w="28" w:type="dxa"/>
        </w:tblCellMar>
      </w:tblPr>
      <w:tblGrid>
        <w:gridCol w:w="1336"/>
        <w:gridCol w:w="1173"/>
        <w:gridCol w:w="1180"/>
        <w:gridCol w:w="211"/>
        <w:gridCol w:w="616"/>
        <w:gridCol w:w="109"/>
        <w:gridCol w:w="109"/>
        <w:gridCol w:w="109"/>
        <w:gridCol w:w="109"/>
        <w:gridCol w:w="211"/>
        <w:gridCol w:w="61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tLeast" w:line="199"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expense of $0.7 million, $0.6 million and $0.7 million was recognized during the years ended December 31, 2025, 2024, and 2023,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6714" w:type="dxa"/>
        <w:jc w:val="left"/>
        <w:tblInd w:w="0" w:type="dxa"/>
        <w:tblLayout w:type="fixed"/>
        <w:tblCellMar>
          <w:top w:w="28" w:type="dxa"/>
          <w:left w:w="28" w:type="dxa"/>
          <w:bottom w:w="28" w:type="dxa"/>
          <w:right w:w="28" w:type="dxa"/>
        </w:tblCellMar>
      </w:tblPr>
      <w:tblGrid>
        <w:gridCol w:w="1544"/>
        <w:gridCol w:w="1355"/>
        <w:gridCol w:w="1361"/>
        <w:gridCol w:w="211"/>
        <w:gridCol w:w="721"/>
        <w:gridCol w:w="109"/>
        <w:gridCol w:w="109"/>
        <w:gridCol w:w="109"/>
        <w:gridCol w:w="109"/>
        <w:gridCol w:w="211"/>
        <w:gridCol w:w="72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sales and use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referral and administration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 fees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connectivity fees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6.Financing Arrangements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financing arrangements consists of the following (in thousands):</w:t>
      </w:r>
    </w:p>
    <w:tbl>
      <w:tblPr>
        <w:tblW w:w="4014" w:type="dxa"/>
        <w:jc w:val="left"/>
        <w:tblInd w:w="0" w:type="dxa"/>
        <w:tblLayout w:type="fixed"/>
        <w:tblCellMar>
          <w:top w:w="28" w:type="dxa"/>
          <w:left w:w="28" w:type="dxa"/>
          <w:bottom w:w="28" w:type="dxa"/>
          <w:right w:w="28" w:type="dxa"/>
        </w:tblCellMar>
      </w:tblPr>
      <w:tblGrid>
        <w:gridCol w:w="750"/>
        <w:gridCol w:w="658"/>
        <w:gridCol w:w="662"/>
        <w:gridCol w:w="211"/>
        <w:gridCol w:w="211"/>
        <w:gridCol w:w="109"/>
        <w:gridCol w:w="109"/>
        <w:gridCol w:w="109"/>
        <w:gridCol w:w="109"/>
        <w:gridCol w:w="211"/>
        <w:gridCol w:w="721"/>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net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MidCap Credit Agreement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2023, the Company entered into a financing agreement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Revenue Condition”) and $60.0 million liquidity. On March 7, 2025, the Company entered into an amendment to the MidCap Credit Agreement which, among other things, (i) extended the availability of the Second Tranche until December 31, 2025 and (ii) 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 Upon the initial closing date of the MidCap Credit Agreement, the Company drew down on $30.0 million of the MidCap Term Facility and used a portion of the proceeds to repay the outstanding principal balance (including prepayment premium) and accrued interest on a prior credit agreement with Perceptive Credit Holdings, III, LP (the “Perceptive Credit Agreement”). The MidCap Term Facility was interest-only for 48 months. At the end of the initial interest-only period, the Company could elect to extend the interest-only period an additional 12 months if the Company met a certain trailing 12-month revenue level (the “Minimum Net Revenue”) and no event of default has occurred and was continuing. The MidCap Credit Agreement also included a revolving line of credit facility (the “MidCap Revolving Facility”) allowing for up to $20.0 million in revolving borrowings. The availability of the MidCap Revolving Facility was calculated as a percentage of the Company’s outstanding accounts receivable and inventory balances (“Availability”). The Company was required to maintain a minimum drawn balance on the MidCap Revolving Facility of no less than 20% of Availability, or was required to pay a fee equal to the MidCap Revolving Facility interest rate on the difference between the amount of revolving loans drawn and 20% of Availability. Upon the initial closing date of the MidCap Credit Agreement, the Company drew $1.0 million on the MidCap Revolving Facility. The maturity date of the MidCap Term Facility and the MidCap Revolving Facility was June 1, 2028.</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was charged on any outstanding principal of the MidCap Term Facility at the sum of (i) the one-month forward-looking term SOFR, plus 0.10% (“Adjusted SOFR”), plus 7.0%, subject to a floor of 2.5%. Interest on the MidCap Revolving Facility was charged at the sum of Adjusted SOFR, plus 4.0%, subject to a floor of 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Both interest rates were reset monthly. The effective interest rate for the years ended December 31, 2025 and 2024 on the MidCap Term Facility was 10.0% and 14.3%, respectively, and 8.4% and 12.0%, respectively, on the MidCap Revolving Facility.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fully nonrefundable origination fee of 1.0% of the $60 million MidCap Term Facility ($0.6 million) was paid upon the effective date of the MidCap Credit Agreement. The Company was also required to pay all of the lender legal fees and out-of-pocket expenses totaling $0.7 million. Additionally, an annual administrative fee of 0.25% of the amount borrowed under the MidCap Term Facility is due annually. At the time of final payment of the MidCap Term Facility, the Company paid a fee of 3% on the amount borrowed under the MidCap Term Facility.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fully nonrefundable origination fee of 0.5% of the $20 million MidCap Revolving Facility ($0.1 million) was paid upon the closing of the MidCap Credit Agreement. The Company paid a collateral management fee of 0.5% per annum on the outstanding balance of the MidCap Revolving Facility, payable monthly in arrears. Additionally, the Company paid an unused line fee of 0.5% per annum of the average unused portion of the MidCap Revolving Facility, payable monthly in arrears. The Company incurred other debt issuance costs of $0.4 million related to other fees paid to the lender and legal fees incurred by the Company.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March 7, 2025 amendment to the MidCap Credit Agreement, the Company incurred debt issuance costs of $0.2 million. Following the debt extinguishment there were no debt issuance costs classified in prepaid expenses and other current assets on the consolidated balance sheet as of December 31,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respect to any prepayment of all or any portion of the outstanding principal amount of MidCap Term Facility, or permanent reduction of the commitments under the MidCap Revolving Facility, a prepayment premium or deferred revolving origination fee, as applicable, was due as follows: 3% if prepaid or reduced, as applicable, before June 1, 2024, 2% if prepaid or reduced, as applicable, between June 2, 2024 and June 1, 2025, and 1% if prepaid or reduced, as applicable, thereafter.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MidCap Credit Agreement included customary covenants for a facility of this type, including monthly reporting requirements and, at any time that liquidity was less than 1.50x the outstanding principal balance of the MidCap Term Facility, a financial covenant to maintain minimum trailing 12-month net revenue levels specified in the MidCap Credit Agreement. The MidCap Credit Agreement also contained various covenants that limit the Company’s ability to,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things: sell, transfer, lease, or dispose of its assets subject to certain exclusions; create, incur, assume, guarantee, or assume additional indebtedness, other than certain permitted indebtedness; encumber or permit liens on any of its assets other than certain permitted liens; make restricted payments, including paying cash dividends on, repurchasing or making distributions with respect to any of its capital stock; make specified investments; consolidate, merge with, or acquire any other entity, or sell or otherwise dispose of all or substantially all of its assets; and enter into certain transactions with its affiliates, in each case, subject to certain exceptions, baskets, and thresholds set forth in the MidCap Credit Agreement. As of July 31, 2025, the Company was in compliance with its financial covenants.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related to amortization of the debt discount for long-term debt for the years ended December 31, 2025 and 2024 was $0.3 million and $0.4 million, respectively, and is included in interest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2025, the Company used a portion of its IPO proceeds and fully repaid outstanding amounts under the MidCap Term Facility and MidCap Revolving Facility with the principal and accrued interest balances of $31.0 million and $0.4 million, respectively. The repayment of the MidCap Term Facility and the MidCap Revolving Facility was accounted for as a debt extinguishment. The consideration used to extinguish the MidCap Term Facility and the MidCap Revolving Facility and the carrying value of the debt instruments (including unamortized debt issuance costs) resulted in a loss on early extinguishment of debt of $2.1 million included in loss on debt extinguishment within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7.Commitments and Contingencies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consolidated balance sheets, consolidated statements of operations and comprehensive loss, or consolidated statements of cash flows. Accordingly, the Company had no liabilities recorded for these provisions as of December 31, 2025 and 2024.</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contractual commitments primarily consist of technology and cloud services related to the Company’s daily business operations. As of December 31, 2025, future minimum payments under the Company’s non-cancellable purchase commitments, for the years ended December 31,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purchase obligation amounts do not represent the entire anticipated purchases in the future but represent only those items for which the Company is contractually obligated. The majority of the Company’s goods and services are purchased as needed, with no unconditional commitment. For this reason, these amounts do not provide an indication of the Company’s expected future cash outflows related to purchases.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2025, the Company fully repaid outstanding amounts under the MidCap Term Facility and MidCap Revolving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8.Redeemable Convertible Preferred Stock and Stockholders’ Equity (Deficit)</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its IPO, on June 9, 2025, the Company’s restated certificate of incorporation was amended and restated to authorize 750,000,000 shares of common stock, par value $0.001 per share, and 10,000,000 shares of preferred stock, par value $0.001 per share. No shares of preferred stock were outstanding as of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total shares of the Company’s common stock reserved for issuance on an as-converted basis are as follows (in thousands):</w:t>
      </w:r>
    </w:p>
    <w:tbl>
      <w:tblPr>
        <w:tblW w:w="6400" w:type="dxa"/>
        <w:jc w:val="left"/>
        <w:tblInd w:w="0" w:type="dxa"/>
        <w:tblLayout w:type="fixed"/>
        <w:tblCellMar>
          <w:top w:w="28" w:type="dxa"/>
          <w:left w:w="28" w:type="dxa"/>
          <w:bottom w:w="28" w:type="dxa"/>
          <w:right w:w="28" w:type="dxa"/>
        </w:tblCellMar>
      </w:tblPr>
      <w:tblGrid>
        <w:gridCol w:w="1473"/>
        <w:gridCol w:w="1292"/>
        <w:gridCol w:w="1299"/>
        <w:gridCol w:w="360"/>
        <w:gridCol w:w="361"/>
        <w:gridCol w:w="165"/>
        <w:gridCol w:w="165"/>
        <w:gridCol w:w="165"/>
        <w:gridCol w:w="165"/>
        <w:gridCol w:w="360"/>
        <w:gridCol w:w="361"/>
        <w:gridCol w:w="234"/>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RSU's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outstanding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available for future grants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purchase under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16,896 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54,071 </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previously issued shares of redeemable convertible preferred stock. Immediately prior to the closing of the IPO on June 9, 2025, all 118,218,801 shares of the Company’s Series A, Series B, Series C, Series C-1, Series D, Series D-1, and Series E redeemable convertible preferred stock, excluding shares issued upon the exercise of Series B and Series D convertible redeemable preferred stock warrants disclosed below, converted into an aggregate of 39,406,221 shares of the Company’s common stock (after adjusting the conversion ratios of the redeemable convertible preferred stock to give effect to the Reverse Stock Split), and such shares of redeemable convertible preferred stock were cancelled, retired, and eliminated from the shares of stock that the Company is authorized to issue and shall not be reissued by the Company. Following the IPO and as of December 31, 2025, no shares of redeemable convertible preferred stock were outstanding.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relating to the Preferred Stock is as follows (in thousands, except per-share amounts):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bl>
      <w:tblPr>
        <w:tblW w:w="10205" w:type="dxa"/>
        <w:jc w:val="left"/>
        <w:tblInd w:w="0" w:type="dxa"/>
        <w:tblLayout w:type="fixed"/>
        <w:tblCellMar>
          <w:top w:w="28" w:type="dxa"/>
          <w:left w:w="28" w:type="dxa"/>
          <w:bottom w:w="28" w:type="dxa"/>
          <w:right w:w="28" w:type="dxa"/>
        </w:tblCellMar>
      </w:tblPr>
      <w:tblGrid>
        <w:gridCol w:w="279"/>
        <w:gridCol w:w="246"/>
        <w:gridCol w:w="248"/>
        <w:gridCol w:w="109"/>
        <w:gridCol w:w="109"/>
        <w:gridCol w:w="109"/>
        <w:gridCol w:w="336"/>
        <w:gridCol w:w="1150"/>
        <w:gridCol w:w="173"/>
        <w:gridCol w:w="109"/>
        <w:gridCol w:w="109"/>
        <w:gridCol w:w="109"/>
        <w:gridCol w:w="479"/>
        <w:gridCol w:w="413"/>
        <w:gridCol w:w="393"/>
        <w:gridCol w:w="109"/>
        <w:gridCol w:w="109"/>
        <w:gridCol w:w="109"/>
        <w:gridCol w:w="632"/>
        <w:gridCol w:w="554"/>
        <w:gridCol w:w="556"/>
        <w:gridCol w:w="109"/>
        <w:gridCol w:w="109"/>
        <w:gridCol w:w="109"/>
        <w:gridCol w:w="220"/>
        <w:gridCol w:w="862"/>
        <w:gridCol w:w="113"/>
        <w:gridCol w:w="109"/>
        <w:gridCol w:w="109"/>
        <w:gridCol w:w="109"/>
        <w:gridCol w:w="338"/>
        <w:gridCol w:w="1324"/>
        <w:gridCol w:w="254"/>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Original Issue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Issued and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Liquidation Preference</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0.5342 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48,667</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49,990</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106,925</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D-1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27,002</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193,591</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120,689 </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118,219 </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449,034 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455,588 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Significant rights and preferences of the redeemable convertible preferred stock prior to the Company’s IPO were summarized as follows: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Series A, Series B, Series C, Series C-1, Series D, Series D-1, and Series E redeemable convertible preferred stockholders were entitled to receive noncumulative dividends prior and in preference to dividends declared on common stock at a rate of $0.0321, $0.0710, $0.1897, $0.2245, $0.3022, $0.3597, and $0.3597, respectively, per annum per share.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Dividends were payable only when and if declared by the Company’s board of directors. No dividends were paid with respect to the common stock during any calendar year unless dividends in the total amount of the annual dividend rate for each such series of redeemable convertible preferred stock shall have first been paid or declared and set apart for payment to the holders of each such series of redeemable convertible preferred stock, respectively, during that calendar year. Payments of any dividends to the holders of each such series of redeemable convertible preferred stock shall be paid pro rata, on an equal priority, pari passu basis according to their respective dividend preferences. Such dividends were not mandatory, and no rights or interest accrue to the holders of each such series of redeemable convertible preferred stock if the Company failed to declare or pay dividends in any calendar year. To date, no dividends have been declared or paid.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Conversion Rights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share of Series A, Series B, Series C, Series C-1, Series D, Series D-1, and Series E redeemable convertible preferred stock was convertible at the stockholders’ option at any time into a number of shares of common stock determined by dividing the Original Issue Price (“OIP”) by the then-current conversion price for such series. The initial conversion price was the original issue price and is subject to adjustment for broad-based anti-dilution, stock splits, stock dividends, and other equivalent adjustments. Each share of redeemable convertible preferred stock would have been automatically converted into common stock at the conversion rate at the time in effect for such series of redeemable convertible preferred stock immediately upon the earlier of:</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 immediately prior to the closing of the Company’s sale of its common stock in a firm commitment underwritten public offering in which the per-share purchase price was at least $17.9856 (subject to appropriate adjustment) and the proceeds received by the Company (less underwriting discounts and commissions) were not less than $75.0 million and the Company’s common stock is listed for trading on the Nasdaq Stock Market or the New York Stock Exchange (a “Qualified Public Offering”); or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(2) the date, or the occurrence of an event, specified by vote or written consent or agreement of the holders of at least 52% of the then-outstanding shares of the Company’s redeemable convertible preferred stock (voting together as a single class and not as separate series, and on an as-converted basis); provided that no shares of Series D redeemable convertible preferred stock were converted pursuant to this clause (2) unless the holders of a majority of the then-outstanding shares of Series D redeemable convertible preferred stock vote or provide a written consent or agreement in favor of such conversion; and provided further that notwithstanding the foregoing, other than a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this clause (2) in connection with the Company’s sale of its common stock in a firm commitment underwritten public offering that is not a Qualified Public Offering, (i) no shares of Series C or Series C-1 redeemable convertible preferred stock were converted pursuant to this clause (2) unless the holders of at least 60% of the then-outstanding shares of Series C or Series C-1 redeemable convertible preferred stock, voting together as a single class and on an as-converted basis, vote or provide written consent or agreement in favor of such conversion, and (ii) no shares of Series E redeemable convertible preferred stock were converted pursuant to this clause (2) unless the holders of a majority of the then-outstanding shares of Series E redeemable convertible preferred stock vote or provide written consent or agreement in favor of such conversion.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Liquidation Rights</w:t>
      </w:r>
    </w:p>
    <w:p>
      <w:pPr>
        <w:pStyle w:val="TextBody"/>
        <w:bidi w:val="0"/>
        <w:spacing w:lineRule="auto" w:line="288" w:before="0" w:after="240"/>
        <w:ind w:left="0" w:right="0" w:firstLine="450"/>
        <w:jc w:val="both"/>
        <w:rPr/>
      </w:pPr>
      <w:r>
        <w:rPr>
          <w:rFonts w:ascii="Times New Roman;serif" w:hAnsi="Times New Roman;serif"/>
          <w:b w:val="false"/>
          <w:color w:val="000000"/>
          <w:sz w:val="20"/>
        </w:rPr>
        <w:t>In the event of any liquidation or winding up of the Company, whether voluntary or involuntary, the holders of the redeemable convertible preferred stock were entitled to receive, prior and in preference to any distribution to the holders of common stock, an amount per share equal to the sum of the applicable OIP for such series of redeemable convertible preferred stock, together with any declared but unpaid dividends. If, upon such occurrence, the proceeds thus distributed among the holders of the redeemable convertible preferred stock were insufficient to permit the payment of such holders of the full aforesaid preferential amounts, then the entire proceeds legally available for distribution would have been distributed pro rata, on an equal priority,</w:t>
      </w:r>
      <w:r>
        <w:rPr>
          <w:color w:val="000000"/>
        </w:rPr>
        <w:t xml:space="preserve">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among the holders of the redeemable convertible preferred stock in proportion to the full preferential amount that each such holder was otherwise entitled to receive.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holder of each share of redeemable convertible preferred stock had the right to one vote for each share of common stock into which the redeemable convertible preferred stock could then be converted. The holders of Series A (of at least 55% of the outstanding Series A redeemable convertible preferred stock), Series B (of a majority of the outstanding Series B redeemable convertible preferred stock), and Series C (of at least 60% of the outstanding Series C redeemable convertible preferred stock), voting as a separate class, were entitled to elect one director of the Company each provided that at least 20% of the originally issued shares of the applicable series remain outstanding. The holders of Series C-1 and Series E redeemable convertible preferred stock were entitled to elect one director of the Company provided that at least 25% of the originally issued shares of the applicable series remain outstanding. The holders of common stock, voting as a separate class, were entitled to elect three directors of the Company. The holders of redeemable convertible preferred stock and common stock, voting together as a single class and on an as-if-converted to common stock basis, were entitled to elect any remaining directors of the Company.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Redemption Rights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holders of the redeemable convertible preferred stock had no voluntary rights to redeem shares. The redeemable convertible preferred stock had deemed liquidation provisions which required the shares to be redeemed upon any liquidation, dissolution, or winding up of the Company, whether voluntary or involuntary (a “Liquidation Event”). Although the redeemable convertible preferred stock was not mandatorily or currently redeemable, a deemed Liquidation Event could have constituted a redemption event outside the Company’s control. Therefore, all shares of redeemable convertible preferred stock had been presented outside of permanent equity. The Company recorded all shares of redeemable convertible preferred stock at their respective issuance price less issuance costs on the dates of issuance. The carrying values of the Company’s redeemable convertible preferred stock had not been accreted to their redemption values as the Liquidation Event was not considered probable of occurring. Subsequent adjustments of the carrying values to redemption values would have been made only if and when it became probable the redeemable convertible preferred stock became redeemable.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Redeemable Convertible Preferred Stock and Common Stock Warrants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previously issued common and redeemable convertible preferred stock warrants in connection with certain notes payable and debt financing transactions. Redeemable convertible preferred stock warrants and common stock warrants outstanding as of December 31, 2024 are as follows (in thousands, except for per share data):</w:t>
      </w:r>
    </w:p>
    <w:tbl>
      <w:tblPr>
        <w:tblW w:w="9814"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484"/>
        <w:gridCol w:w="484"/>
        <w:gridCol w:w="487"/>
        <w:gridCol w:w="109"/>
        <w:gridCol w:w="109"/>
        <w:gridCol w:w="109"/>
        <w:gridCol w:w="484"/>
        <w:gridCol w:w="484"/>
        <w:gridCol w:w="486"/>
        <w:gridCol w:w="109"/>
        <w:gridCol w:w="109"/>
        <w:gridCol w:w="109"/>
        <w:gridCol w:w="480"/>
        <w:gridCol w:w="1162"/>
        <w:gridCol w:w="248"/>
        <w:gridCol w:w="109"/>
        <w:gridCol w:w="109"/>
        <w:gridCol w:w="109"/>
        <w:gridCol w:w="469"/>
        <w:gridCol w:w="469"/>
        <w:gridCol w:w="471"/>
        <w:gridCol w:w="109"/>
        <w:gridCol w:w="109"/>
        <w:gridCol w:w="109"/>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1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Series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20,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18,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18,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29,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29,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August 2017, the Company issued warrants to purchase common stock in conjunction with a loan and security agreement with Silicon Valley Bank (“SVB”). The number of shares that the holder may purchase is equal to 43,420 and is related to a borrowing under the agreement. The warrants will be automatically exercised under the cashless exercise method upon the expiration date of each respective warrant or upon a cash or public acquisition. The warrants issued allow SVB to acquire shares of common stock at an exercise price of $3.24 per share and expire ten years after issuance. These warrants were concluded to be liabilities accounted for at fair value, using the Black-Scholes pricing model, on the date of issuance with subsequent remeasurements recorded in earnings. The fair value on the date of issuance was recorded as warrant liabilities and debt discount. The debt discount was fully amortized upon the debt being repaid in May 2020. As of December 31, 2024, the Company had outstanding warrants to purchase shares of the Company’s common stock that were classified as liabilities. The change in fair value for the for the year ended December 31, 2025 resulted in a loss of $0.4 million, for the year ended December 31, 2024 was a gain of less than $0.1 million, and for the year ended December 31, 2023 was a loss of $0.1 million. On July 18, 2025, the Company’s outstanding common stock warrants were cashless exercised resulting in the issuance of 35,467 shares of common stock.</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Redeemable Convertible Preferred Stock Warrants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2015, the Company issued warrants to purchase a total of 118,363 shares of Series B redeemable convertible preferred stock at an exercise price of $1.1828 per share in conjunction with other borrowings under the loan and security agreement with SVB. These warrants will be automatically exercised under the cashless exercise method upon the expiration date of each respective warrant or upon a cash or public acquisition.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was fully amortized upon the debt being repaid in August 2017. On May 19, 2025, the Company’s outstanding Series B redeemable convertible preferred stock warrants were automatically cashless exercised upon expiration resulting in the issuance of 92,194 shares of Series B redeemable convertible preferred stock, which subsequently converted into 30,731 shares of common stock immediately prior to the closing of the IPO.</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2020, the Company issued warrants to purchase a total of 660,000 shares of Series D redeemable convertible preferred stock at an exercise price of $5.0365 per share in conjunction with the Perceptive Credit Agreement. These warrants will be automatically exercised under the cashless exercise method upon the expiration date of the warrant, upon completion of a Qualified Initial Public Offering, or upon an acquisition of the Company.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On June 9, 2025, the Company’s Series D redeemable convertible preferred stock warrants were cashless exercised resulting in the issuance of 135,143 shares of Series D redeemable convertible preferred stock which subsequently converted into 45,047 shares of common stock immediately prior to the closing of the IPO.</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Company had outstanding warrants to purchase shares of the Company’s Series B and Series D redeemable convertible preferred stock that were classified as liabilities. The change in fair value of Series 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 for the year ended December 31, 2025 resulted in a loss of $0.2 million, for the year ended December 31, 2024 resulted in a gain of less than $0.1 million, and for the year ended December 31, 2023 resulted in a loss of $0.1 million. The change in fair value of Series D redeemable convertible preferred stock warrants for the year ended December 31, 2025 was a loss of $0.8 million, for the year ended December 31, 2024 resulted in a gain of $0.2 million and for the year ended December 31, 2023 resulted in a loss of $0.7 million.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closing of the IPO, no redeemable convertible preferred stock warrants were outstanding. There were no common stock warrants outstanding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9.Share-Based Compensation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2011 Equity Incentive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2025 Plan (as defined below), any shares subject to outstanding options originally granted under the Company’s 2011 Equity Incentive Plan (the “2011 Plan”) that terminate, expire, or lapse for any reason or is settled in cash without the delivery of shares to the holder thereof shall become available for issuance pursuant to awards granted under the 2025 Plan. In connection with the effectiveness of the 2025 Plan, the 2011 Plan terminated, and no further awards will be granted under the 2011 Plan. However, all outstanding awards will continue to be governed by their existing terms.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2025 Equity Incentive Plan</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of directors adopted, and its stockholders approved, the 2025 Incentive Award Plan (the “2025 Plan”), which became effective on June 4, 2025. Under the 2025 Plan, 5,045,541 shares of the Company’s common stock were initially reserved for issuance pursuant to a variety of stock-based compensation awards, including stock options, stock appreciation rights, restricted stock awards, restricted stock unit (“RSU”) awards, and other stock-based awards. The number of shares initially reserved for issuance pursuant to awards under the 2025 Plan will be increased by (i) the number of shares represented by awards outstanding under the 2011 Plan (“Prior Plan Awards”) that become available for issuance under the applicable counting provisions following the effective date of the 2025 Plan and (ii) an annual increase on the first day of each calendar year beginning in calendar year 2026 and ending in calendar year 2035,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15,136,624 shares of common stock may be issued upon the exercise of incentive stock options (“ISOs”). Terms of stock awards, including vesting requirements, are determined by the Company’s board of directors or by a committee authorized by the Company’s board of directors, subject to provisions of the 2025 Plan. The term of any stock option granted under the 2025 Plan cannot exceed ten years. Generally, awards granted by the Company vest over four years, but may be granted with different vesting terms. As of December 31, 2025, 3,973,135 shares were available for future issuance pursuant to the 2025 Plan.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Company’s board of directors adopted, and its stockholders approved, the 2025 Employee Stock Purchase Plan (the “2025 ESPP”), which became effective on June 4, 2025, with an initial reserve of 1,121,231 shares of the Company’s common stock. The 2025 ESPP allows eligible employees to purchase shares of the Company's common stock at a discount through payroll deductions of up to 15% of their compensation, subject to plan limitations. Such payroll deductions will be expressed as a whole number percentage, and the accumulated deductions will be applied to the purchase of shares of common stock on each purchase date. However, a participant may not purchase more than 666 shares of common stock in each offering period and may not subscribe for more than $25,000 in fair market value of shares of common stock (determined at the time the option is granted) during any calendar year. The ESPP administrator has the authority to change these limitations for any subsequent offering period. Unless otherwise determined by the Company's board of directors, employees are able to purchase shares at 85% of the lower of the fair market value of the Company's common stock on the first date of an offering or on the purchase date. The length of the offering periods under the ESPP will be determined by the plan administrator and may be up to 27 months long. The number of shares of the Company's common stock reserved for issuance under the 2025 ESPP will automatically increase on January 1 of each year for a period of ten years, beginning on January 1, 2026 and continuing through December 31, 2035, by the lesser of (i) 1% of the shares of common stock outstanding (on an as-converted basis) on the last day of the immediately preceding fiscal year and (ii) such number of shares of common stock as determined by the board of directors; provided, however,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more than 6,727,388 shares of common stock may be issued under the ESPP. The shares reserved for issuance under the ESPP may be authorized but unissued shares or reacquired shares. As of December 31, 2025, the first offering period under the 2025 ESPP had not commenced.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measures compensation expense for all share-based payment awards based on the estimated fair values on the date of the grant. The fair value of stock options granted with standard 90-day post-termination exercise periods is estimated using the Black-Scholes option pricing model.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weighted-average assumptions were used to calculate the fair value of employee option grants:</w:t>
      </w:r>
    </w:p>
    <w:tbl>
      <w:tblPr>
        <w:tblW w:w="6879" w:type="dxa"/>
        <w:jc w:val="left"/>
        <w:tblInd w:w="0" w:type="dxa"/>
        <w:tblLayout w:type="fixed"/>
        <w:tblCellMar>
          <w:top w:w="28" w:type="dxa"/>
          <w:left w:w="28" w:type="dxa"/>
          <w:bottom w:w="28" w:type="dxa"/>
          <w:right w:w="28" w:type="dxa"/>
        </w:tblCellMar>
      </w:tblPr>
      <w:tblGrid>
        <w:gridCol w:w="772"/>
        <w:gridCol w:w="678"/>
        <w:gridCol w:w="680"/>
        <w:gridCol w:w="432"/>
        <w:gridCol w:w="432"/>
        <w:gridCol w:w="440"/>
        <w:gridCol w:w="132"/>
        <w:gridCol w:w="132"/>
        <w:gridCol w:w="132"/>
        <w:gridCol w:w="432"/>
        <w:gridCol w:w="432"/>
        <w:gridCol w:w="440"/>
        <w:gridCol w:w="132"/>
        <w:gridCol w:w="132"/>
        <w:gridCol w:w="132"/>
        <w:gridCol w:w="393"/>
        <w:gridCol w:w="393"/>
        <w:gridCol w:w="563"/>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3.66% - 4.42%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3.52% - 4.48%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3.52% - 4.93%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 - 70%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 - 69%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 - 68%</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5.89 - 6.07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5.00 - 6.05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5.19 - 6.06</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award activity under the 2011 Plan and 2025 Plan is as follows (in thousands, except years and per-share data):</w:t>
      </w:r>
    </w:p>
    <w:tbl>
      <w:tblPr>
        <w:tblW w:w="10205" w:type="dxa"/>
        <w:jc w:val="left"/>
        <w:tblInd w:w="0" w:type="dxa"/>
        <w:tblLayout w:type="fixed"/>
        <w:tblCellMar>
          <w:top w:w="28" w:type="dxa"/>
          <w:left w:w="28" w:type="dxa"/>
          <w:bottom w:w="28" w:type="dxa"/>
          <w:right w:w="28" w:type="dxa"/>
        </w:tblCellMar>
      </w:tblPr>
      <w:tblGrid>
        <w:gridCol w:w="908"/>
        <w:gridCol w:w="797"/>
        <w:gridCol w:w="800"/>
        <w:gridCol w:w="109"/>
        <w:gridCol w:w="109"/>
        <w:gridCol w:w="109"/>
        <w:gridCol w:w="342"/>
        <w:gridCol w:w="342"/>
        <w:gridCol w:w="344"/>
        <w:gridCol w:w="109"/>
        <w:gridCol w:w="109"/>
        <w:gridCol w:w="109"/>
        <w:gridCol w:w="500"/>
        <w:gridCol w:w="1212"/>
        <w:gridCol w:w="260"/>
        <w:gridCol w:w="109"/>
        <w:gridCol w:w="109"/>
        <w:gridCol w:w="109"/>
        <w:gridCol w:w="619"/>
        <w:gridCol w:w="619"/>
        <w:gridCol w:w="620"/>
        <w:gridCol w:w="109"/>
        <w:gridCol w:w="109"/>
        <w:gridCol w:w="109"/>
        <w:gridCol w:w="296"/>
        <w:gridCol w:w="1015"/>
        <w:gridCol w:w="223"/>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Remaining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88,095 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stock options are exercised, the Company’s policy is to issue previously unissued shares of common stock. The intrinsic value of a stock option is calculated as the difference between the per-share exercise price of the underlying stock option and the estimated per-share fair value of the Company’s common stock at the measurement date. The total intrinsic values of stock options exercised during the years ended December 31, 2025, 2024, and 2023 was $15.8 million, $3.2 million, and $1.2 million, respectively.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stock options granted during the years ended December 31, 2025, 2024, and 2023 was $10.73, $5.93 and $4.31 per share, respectively. The total grant date fair value of stock options vested during the years ended December 31, 2025, 2024, and 2023 was $15.9 million, $8.3 million and $8.2 million, respectively.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approximately $18.0 million of total unrecognized compensation costs related to unvested stock options, which is expected to be recognized over the weighted-average period of 2.6 years using the straight-line method. The Company has not granted any stock options since the third quarter of 2025.</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RSUs vest based on the terms in the grant agreements and generally vest ratably over a period of between one and four years from the vesting commencement date. During 2025, the Company began issuing RSUs to certain employees and directors under the 2025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unvested shares as of December 31, 2025 is as follows (in thousands, except per share information):</w:t>
      </w:r>
    </w:p>
    <w:tbl>
      <w:tblPr>
        <w:tblW w:w="8185" w:type="dxa"/>
        <w:jc w:val="left"/>
        <w:tblInd w:w="0" w:type="dxa"/>
        <w:tblLayout w:type="fixed"/>
        <w:tblCellMar>
          <w:top w:w="28" w:type="dxa"/>
          <w:left w:w="28" w:type="dxa"/>
          <w:bottom w:w="28" w:type="dxa"/>
          <w:right w:w="28" w:type="dxa"/>
        </w:tblCellMar>
      </w:tblPr>
      <w:tblGrid>
        <w:gridCol w:w="1059"/>
        <w:gridCol w:w="930"/>
        <w:gridCol w:w="936"/>
        <w:gridCol w:w="569"/>
        <w:gridCol w:w="569"/>
        <w:gridCol w:w="571"/>
        <w:gridCol w:w="109"/>
        <w:gridCol w:w="109"/>
        <w:gridCol w:w="109"/>
        <w:gridCol w:w="693"/>
        <w:gridCol w:w="2023"/>
        <w:gridCol w:w="508"/>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20.03 </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19.27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aggregate fair value of RSUs that vested was $1.5 million, $0 million and $0 million during the years ended December 31, 2025, 2024, and 2023, respectively. The weighted-average grant date fair value of RSUs granted during the years ended December 31, 2025, 2024, and 2023 was $20.03, $0, and $0, respectively. As of December 31, 2025, there was approximately $17.3 million of unrecognized stock-based compensation expense related to unvested RSUs, which is expected to be recognized over a weighted-average period of 3.5 years.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share-based compensation expense recognized in the consolidated statement of operations and comprehensive loss is as follows (in thousands):</w:t>
      </w:r>
    </w:p>
    <w:tbl>
      <w:tblPr>
        <w:tblW w:w="7046" w:type="dxa"/>
        <w:jc w:val="left"/>
        <w:tblInd w:w="0" w:type="dxa"/>
        <w:tblLayout w:type="fixed"/>
        <w:tblCellMar>
          <w:top w:w="28" w:type="dxa"/>
          <w:left w:w="28" w:type="dxa"/>
          <w:bottom w:w="28" w:type="dxa"/>
          <w:right w:w="28" w:type="dxa"/>
        </w:tblCellMar>
      </w:tblPr>
      <w:tblGrid>
        <w:gridCol w:w="1243"/>
        <w:gridCol w:w="1091"/>
        <w:gridCol w:w="1100"/>
        <w:gridCol w:w="211"/>
        <w:gridCol w:w="721"/>
        <w:gridCol w:w="109"/>
        <w:gridCol w:w="109"/>
        <w:gridCol w:w="109"/>
        <w:gridCol w:w="109"/>
        <w:gridCol w:w="211"/>
        <w:gridCol w:w="616"/>
        <w:gridCol w:w="109"/>
        <w:gridCol w:w="109"/>
        <w:gridCol w:w="109"/>
        <w:gridCol w:w="109"/>
        <w:gridCol w:w="211"/>
        <w:gridCol w:w="61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capitalized $0.2 million, $0.1 million and $0.1 million of share-based compensation expense related to internal-use software development costs during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10.Related Party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Commercial Arrangements with Cigna and its Affiliates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 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consolidated balance sheets, consolidated statements of operations and comprehensive loss, and consolidated statements of cash flows, affiliates of The Cigna Group made payments to the Company of $157.6 million, $89.9 million and $63.3 million during the years ended December 31, 2025, 2024, and 2023, respectively. Additionally, the Company made payments to affiliates of The Cigna Group of $23.4 million, $17.2 million, and $13.1 million during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11.Segment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which includes all virtual care program product offerings. The CODM manages the allocation of resources and assesses performance at the operating segment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CODM reviews information presented on a consolidated basis for purposes of making operating decisions, assessing financial performance, and allocating resources. The CODM assesses performance and decides how to allocate resources based on components reported on the consolidated statement of operations including consolidated net loss. The CODM uses net loss to evaluate the return on assets and to determine investment opportunities related to development of new virtual care service offerings, new technologies, and platform enhancements. The CODM also uses net loss to monitor budget versus actual results.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net loss and significant expenses for the years ended December 31, 2025, 2024, and 2023 consisted of the following (in thousands):</w:t>
      </w:r>
    </w:p>
    <w:tbl>
      <w:tblPr>
        <w:tblW w:w="6491" w:type="dxa"/>
        <w:jc w:val="left"/>
        <w:tblInd w:w="0" w:type="dxa"/>
        <w:tblLayout w:type="fixed"/>
        <w:tblCellMar>
          <w:top w:w="28" w:type="dxa"/>
          <w:left w:w="28" w:type="dxa"/>
          <w:bottom w:w="28" w:type="dxa"/>
          <w:right w:w="28" w:type="dxa"/>
        </w:tblCellMar>
      </w:tblPr>
      <w:tblGrid>
        <w:gridCol w:w="851"/>
        <w:gridCol w:w="750"/>
        <w:gridCol w:w="753"/>
        <w:gridCol w:w="211"/>
        <w:gridCol w:w="826"/>
        <w:gridCol w:w="109"/>
        <w:gridCol w:w="109"/>
        <w:gridCol w:w="109"/>
        <w:gridCol w:w="109"/>
        <w:gridCol w:w="211"/>
        <w:gridCol w:w="826"/>
        <w:gridCol w:w="109"/>
        <w:gridCol w:w="109"/>
        <w:gridCol w:w="109"/>
        <w:gridCol w:w="109"/>
        <w:gridCol w:w="211"/>
        <w:gridCol w:w="82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w:t>
            </w:r>
            <w:r>
              <w:rPr>
                <w:color w:val="000000"/>
              </w:rPr>
              <w:t xml:space="preserv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(1)Depreciation and amortization included in cost of revenue was $5.0 million, $4.2 million and $3.8 million for the years ended December 31, 2025, 2024 and</w:t>
      </w:r>
      <w:r>
        <w:rPr>
          <w:color w:val="000000"/>
        </w:rPr>
        <w:t xml:space="preserve"> </w:t>
      </w:r>
      <w:r>
        <w:rPr>
          <w:rFonts w:ascii="Times New Roman;serif" w:hAnsi="Times New Roman;serif"/>
          <w:b w:val="false"/>
          <w:color w:val="000000"/>
          <w:sz w:val="16"/>
        </w:rPr>
        <w:t>2023,</w:t>
      </w:r>
      <w:r>
        <w:rPr>
          <w:color w:val="000000"/>
        </w:rPr>
        <w:t xml:space="preserve"> </w:t>
      </w:r>
      <w:r>
        <w:rPr>
          <w:rFonts w:ascii="Times New Roman;serif" w:hAnsi="Times New Roman;serif"/>
          <w:b w:val="false"/>
          <w:color w:val="000000"/>
          <w:sz w:val="16"/>
        </w:rPr>
        <w:t>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(2)Employee compensation is part of research and development, sales and marketing and general and administrative expenses and includes salaries, share-based compensation expense, sales commissions, employee bonuses, benefits, and other employee-related expenses.</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segment items include third-party consulting services and professional services, software and infrastructure, hosting, marketing and advertising, and other income and other expenses.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were located in the U.S., and all revenue was earned in the U.S. as of and for the years ended December 31, 2025,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12.Income Taxes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losses before provision for income taxes during each period relate entirely to operations within the United States. The Company did not record a provision for income tax expense or benefit for the years ended December 31, 2025 and 2024 due to recurring losses and the maintenance of a full valuation allowance on its deferred tax assets.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United States. The OBBBA includes significant provisions, including to the treatment of research and development expenditures under Section 174, modifications to the business interest expense limitation, and updates to other business tax provisions. Certain provisions are effective beginning in 2025, while others are phased in through 2027. The Company has reflected the applicable provisions of the OBBBA in its income tax provision for the year ended December 31, 2025. In particular, the Company elected to recover previously capitalized domestic research and development expenditures ratably over 2025 and 2026 pursuant to newly enacted Section 174A. State conformity has been considered in material jurisdictions for purposes of determining the income tax provision.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adopted Accounting Standards Update (“ASU”) 2023-09, “Income Taxes (Topic 740): Improvements to Income Tax Disclosures”, on a prospective basis for the year ended December 31, 2025. See Note 2. Significant Accounting Policies - Adoption of New Accounting Standards for additional details on the adoption of ASU 2023-09.</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provision (benefit) for income taxes differs from the amount that would result by applying the federal income tax rate to income before income taxes, as follows (in thousands,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bl>
      <w:tblPr>
        <w:tblW w:w="7842" w:type="dxa"/>
        <w:jc w:val="left"/>
        <w:tblInd w:w="0" w:type="dxa"/>
        <w:tblLayout w:type="fixed"/>
        <w:tblCellMar>
          <w:top w:w="28" w:type="dxa"/>
          <w:left w:w="28" w:type="dxa"/>
          <w:bottom w:w="28" w:type="dxa"/>
          <w:right w:w="28" w:type="dxa"/>
        </w:tblCellMar>
      </w:tblPr>
      <w:tblGrid>
        <w:gridCol w:w="1816"/>
        <w:gridCol w:w="1601"/>
        <w:gridCol w:w="1607"/>
        <w:gridCol w:w="400"/>
        <w:gridCol w:w="431"/>
        <w:gridCol w:w="259"/>
        <w:gridCol w:w="206"/>
        <w:gridCol w:w="206"/>
        <w:gridCol w:w="206"/>
        <w:gridCol w:w="269"/>
        <w:gridCol w:w="242"/>
        <w:gridCol w:w="599"/>
      </w:tblGrid>
      <w:tr>
        <w:trPr/>
        <w:tc>
          <w:tcPr>
            <w:tcW w:w="181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(2,437)</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R&amp;D tax credits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tLeast" w:line="194" w:before="0" w:after="283"/>
              <w:jc w:val="left"/>
              <w:rPr>
                <w:rFonts w:ascii="Times New Roman;serif" w:hAnsi="Times New Roman;serif"/>
                <w:b w:val="false"/>
                <w:color w:val="000000"/>
                <w:sz w:val="20"/>
              </w:rPr>
            </w:pPr>
            <w:r>
              <w:rPr>
                <w:rFonts w:ascii="Times New Roman;serif" w:hAnsi="Times New Roman;serif"/>
                <w:b w:val="false"/>
                <w:color w:val="000000"/>
                <w:sz w:val="20"/>
              </w:rPr>
              <w:t>World wide changes in unrecognized tax benefits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50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for the years ended December 31, 2024 and 2023, prior to the adoption of ASU 2023-09, the effective income tax rate differs from the statutory federal income tax rate as follows: </w:t>
      </w:r>
    </w:p>
    <w:tbl>
      <w:tblPr>
        <w:tblW w:w="5202" w:type="dxa"/>
        <w:jc w:val="left"/>
        <w:tblInd w:w="0" w:type="dxa"/>
        <w:tblLayout w:type="fixed"/>
        <w:tblCellMar>
          <w:top w:w="28" w:type="dxa"/>
          <w:left w:w="28" w:type="dxa"/>
          <w:bottom w:w="28" w:type="dxa"/>
          <w:right w:w="28" w:type="dxa"/>
        </w:tblCellMar>
      </w:tblPr>
      <w:tblGrid>
        <w:gridCol w:w="960"/>
        <w:gridCol w:w="844"/>
        <w:gridCol w:w="850"/>
        <w:gridCol w:w="291"/>
        <w:gridCol w:w="294"/>
        <w:gridCol w:w="409"/>
        <w:gridCol w:w="164"/>
        <w:gridCol w:w="164"/>
        <w:gridCol w:w="164"/>
        <w:gridCol w:w="291"/>
        <w:gridCol w:w="294"/>
        <w:gridCol w:w="477"/>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tLeast" w:line="199" w:before="0" w:after="0"/>
              <w:jc w:val="left"/>
              <w:rPr>
                <w:rFonts w:ascii="Times New Roman;serif" w:hAnsi="Times New Roman;serif"/>
                <w:b w:val="false"/>
                <w:color w:val="000000"/>
                <w:sz w:val="20"/>
              </w:rPr>
            </w:pPr>
            <w:r>
              <w:rPr>
                <w:rFonts w:ascii="Times New Roman;serif" w:hAnsi="Times New Roman;serif"/>
                <w:b w:val="false"/>
                <w:color w:val="000000"/>
                <w:sz w:val="20"/>
              </w:rPr>
              <w:t>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State tax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tLeast" w:line="194"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the net effects of temporary differences between the carrying amounts of assets and liabilities for financial reporting purposes and the amounts used for income tax purposes. The tax effects of the temporary differences and carryforwards that give rise to deferred tax assets and liabilities consists of the following (in thousands):</w:t>
      </w:r>
    </w:p>
    <w:tbl>
      <w:tblPr>
        <w:tblW w:w="7069" w:type="dxa"/>
        <w:jc w:val="left"/>
        <w:tblInd w:w="0" w:type="dxa"/>
        <w:tblLayout w:type="fixed"/>
        <w:tblCellMar>
          <w:top w:w="28" w:type="dxa"/>
          <w:left w:w="28" w:type="dxa"/>
          <w:bottom w:w="28" w:type="dxa"/>
          <w:right w:w="28" w:type="dxa"/>
        </w:tblCellMar>
      </w:tblPr>
      <w:tblGrid>
        <w:gridCol w:w="1670"/>
        <w:gridCol w:w="1464"/>
        <w:gridCol w:w="1470"/>
        <w:gridCol w:w="233"/>
        <w:gridCol w:w="798"/>
        <w:gridCol w:w="120"/>
        <w:gridCol w:w="120"/>
        <w:gridCol w:w="120"/>
        <w:gridCol w:w="120"/>
        <w:gridCol w:w="233"/>
        <w:gridCol w:w="311"/>
        <w:gridCol w:w="410"/>
      </w:tblGrid>
      <w:tr>
        <w:trPr/>
        <w:tc>
          <w:tcPr>
            <w:tcW w:w="167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04"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79,341</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Credit carryforwards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14,876</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Interest carryforwards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Section 174 research and development capitalization</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17,526</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accruals and reserves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6,376</w:t>
            </w:r>
          </w:p>
        </w:tc>
      </w:tr>
      <w:tr>
        <w:trPr/>
        <w:tc>
          <w:tcPr>
            <w:tcW w:w="4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121,852</w:t>
            </w:r>
          </w:p>
        </w:tc>
      </w:tr>
      <w:tr>
        <w:trPr/>
        <w:tc>
          <w:tcPr>
            <w:tcW w:w="7069"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(5,358)</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tLeast"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(116,494)</w:t>
            </w:r>
          </w:p>
        </w:tc>
      </w:tr>
      <w:tr>
        <w:trPr/>
        <w:tc>
          <w:tcPr>
            <w:tcW w:w="46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taxes, net of valuation allowance</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5"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In determining the need for a valuation allowance, the Company reviewed both positive and negative evidence pursuant to ASC 740, Income Taxes, including current and historical results of operations, future income projections, and potential tax planning strategies. A significant piece of objective negative evidence evaluated was the cumulative loss incurred over the three-year period ended December 31, 2025, which limits the Company’s ability to rely on subjective evidence such as its projections for future growth. Based on this evaluation, the Company concluded that it is not more likely than not that its’s deferred tax assets will be realized and, accordingly, a full valuation allowance has been recorded as of December 31, 2025, 2024, and 2023. A reconciliation of the beginning and ending amount of the valuation allowance is as follows (in thousands):</w:t>
      </w:r>
    </w:p>
    <w:tbl>
      <w:tblPr>
        <w:tblW w:w="7872" w:type="dxa"/>
        <w:jc w:val="left"/>
        <w:tblInd w:w="0" w:type="dxa"/>
        <w:tblLayout w:type="fixed"/>
        <w:tblCellMar>
          <w:top w:w="28" w:type="dxa"/>
          <w:left w:w="28" w:type="dxa"/>
          <w:bottom w:w="28" w:type="dxa"/>
          <w:right w:w="28" w:type="dxa"/>
        </w:tblCellMar>
      </w:tblPr>
      <w:tblGrid>
        <w:gridCol w:w="1271"/>
        <w:gridCol w:w="1116"/>
        <w:gridCol w:w="1123"/>
        <w:gridCol w:w="211"/>
        <w:gridCol w:w="901"/>
        <w:gridCol w:w="109"/>
        <w:gridCol w:w="109"/>
        <w:gridCol w:w="109"/>
        <w:gridCol w:w="109"/>
        <w:gridCol w:w="211"/>
        <w:gridCol w:w="901"/>
        <w:gridCol w:w="109"/>
        <w:gridCol w:w="109"/>
        <w:gridCol w:w="109"/>
        <w:gridCol w:w="109"/>
        <w:gridCol w:w="211"/>
        <w:gridCol w:w="901"/>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(17,183)</w:t>
            </w:r>
          </w:p>
        </w:tc>
      </w:tr>
      <w:tr>
        <w:trPr/>
        <w:tc>
          <w:tcPr>
            <w:tcW w:w="35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(103,517)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2024, and 2023 the Company had tax net operating loss carryforwards and tax credit carryforwards as follows (in thousands):</w:t>
      </w:r>
    </w:p>
    <w:tbl>
      <w:tblPr>
        <w:tblW w:w="7584" w:type="dxa"/>
        <w:jc w:val="left"/>
        <w:tblInd w:w="0" w:type="dxa"/>
        <w:tblLayout w:type="fixed"/>
        <w:tblCellMar>
          <w:top w:w="28" w:type="dxa"/>
          <w:left w:w="28" w:type="dxa"/>
          <w:bottom w:w="28" w:type="dxa"/>
          <w:right w:w="28" w:type="dxa"/>
        </w:tblCellMar>
      </w:tblPr>
      <w:tblGrid>
        <w:gridCol w:w="1223"/>
        <w:gridCol w:w="1073"/>
        <w:gridCol w:w="1078"/>
        <w:gridCol w:w="306"/>
        <w:gridCol w:w="520"/>
        <w:gridCol w:w="393"/>
        <w:gridCol w:w="109"/>
        <w:gridCol w:w="109"/>
        <w:gridCol w:w="109"/>
        <w:gridCol w:w="211"/>
        <w:gridCol w:w="826"/>
        <w:gridCol w:w="109"/>
        <w:gridCol w:w="109"/>
        <w:gridCol w:w="109"/>
        <w:gridCol w:w="109"/>
        <w:gridCol w:w="211"/>
        <w:gridCol w:w="82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74"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 federal</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tLeast" w:line="20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tLeast" w:line="202" w:before="0" w:after="283"/>
              <w:jc w:val="right"/>
              <w:rPr>
                <w:rFonts w:ascii="Times New Roman;serif" w:hAnsi="Times New Roman;serif"/>
                <w:b w:val="false"/>
                <w:color w:val="000000"/>
                <w:sz w:val="20"/>
              </w:rPr>
            </w:pPr>
            <w:r>
              <w:rPr>
                <w:rFonts w:ascii="Times New Roman;serif" w:hAnsi="Times New Roman;serif"/>
                <w:b w:val="false"/>
                <w:color w:val="000000"/>
                <w:sz w:val="20"/>
              </w:rPr>
              <w:t>358,221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 state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219,928 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credit, federal</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credit, state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1"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$358.2 million of federal and $219.9 million of state net operating loss carryforwards available to offset future taxable income. Carryforwards generated in tax years ended December 31, 2017 and prior will expire in varying amounts beginning in 2031 for federal and state purposes. Carryforwards generated in the tax year ended December 31, 2018 and future years do not expire for federal purposes.</w:t>
      </w:r>
    </w:p>
    <w:p>
      <w:pPr>
        <w:pStyle w:val="TextBody"/>
        <w:bidi w:val="0"/>
        <w:spacing w:lineRule="auto" w:line="285"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federal and state research and development tax credits of $15.8 million and $8.8 million, respectively. If not utilized, the federal research and development credits will expire in 2031. The California research and development credits can be carried forward indefinitely.</w:t>
      </w:r>
    </w:p>
    <w:p>
      <w:pPr>
        <w:pStyle w:val="TextBody"/>
        <w:bidi w:val="0"/>
        <w:spacing w:lineRule="auto" w:line="285"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The Company’s ability to utilize the net operating loss and tax credit carryforwards in the future may be subject to substantial restrictions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w:t>
      </w:r>
    </w:p>
    <w:p>
      <w:pPr>
        <w:pStyle w:val="TextBody"/>
        <w:bidi w:val="0"/>
        <w:spacing w:lineRule="auto" w:line="285"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total amount of unrecognized tax benefits, excluding interest and penalties, was $6.0 million, none of which would impact the effective tax rate if recognized. The Company’s policy is to include interest and penalties with its provision for income taxes. For the year ended December 31, 2025, the Company did not recognize accrued interest and penalties related to unrecognized tax benefits. The Company does not anticipate any significant changes to its unrecognized tax positions within the next twelve months.</w:t>
      </w:r>
    </w:p>
    <w:p>
      <w:pPr>
        <w:pStyle w:val="TextBody"/>
        <w:bidi w:val="0"/>
        <w:spacing w:lineRule="auto" w:line="285"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the Company’s unrecognized tax benefits during the years ended December 31, 2025, 2024, and 2023 is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240"/>
        <w:jc w:val="left"/>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bl>
      <w:tblPr>
        <w:tblW w:w="7451" w:type="dxa"/>
        <w:jc w:val="left"/>
        <w:tblInd w:w="0" w:type="dxa"/>
        <w:tblLayout w:type="fixed"/>
        <w:tblCellMar>
          <w:top w:w="28" w:type="dxa"/>
          <w:left w:w="28" w:type="dxa"/>
          <w:bottom w:w="28" w:type="dxa"/>
          <w:right w:w="28" w:type="dxa"/>
        </w:tblCellMar>
      </w:tblPr>
      <w:tblGrid>
        <w:gridCol w:w="1427"/>
        <w:gridCol w:w="1256"/>
        <w:gridCol w:w="1261"/>
        <w:gridCol w:w="211"/>
        <w:gridCol w:w="616"/>
        <w:gridCol w:w="109"/>
        <w:gridCol w:w="109"/>
        <w:gridCol w:w="109"/>
        <w:gridCol w:w="109"/>
        <w:gridCol w:w="211"/>
        <w:gridCol w:w="616"/>
        <w:gridCol w:w="109"/>
        <w:gridCol w:w="109"/>
        <w:gridCol w:w="109"/>
        <w:gridCol w:w="109"/>
        <w:gridCol w:w="211"/>
        <w:gridCol w:w="616"/>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44"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tax positions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Lapse of the applicable statute of limitations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tLeast" w:line="19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24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tax returns in the U.S. federal and California tax jurisdictions. The federal and state income tax returns from inception to December 31, 2021 remain subject to examination.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13.Net Loss Per Share Attributable to Common Stockholders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follows the two-class method when computing net loss per common share when shares are issued that meet the definition of participating securities. The two-class method determines net income (loss) per share of common stock and participating securities according to dividends declared or accumulated and participation rights in undistributed earnings. The two-class method requires income (loss) available to common stockholders for the period to be allocated between common stock and participating securities based upon their respective rights to receive dividends as if all income (loss) for the period had been distributed. The holders of the Company’s redeemable convertible preferred stock would be entitled to dividends in preference to common stockholders, at specified rates, if declared. Such dividends are not cumulative. Any remaining earnings would be distributed among the holders of redeemable convertible preferred stock and common stock pro rata on an as-converted basis. The holders of the Company’s redeemable convertible preferred stock are not contractually obligated to participate in the Company’s losses. Refer to Note 8 for further details on the redeemable preferred stock conversion at the IPO.</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computed by dividing the net loss attributable to common stockholders by the weighted-average number of shares of common stock outstanding during the period, less shares subject to repurchase. The diluted net loss per share is computed by giving effect to all potentially dilutive securities outstanding for the period using the treasury stock method or the if-converted method. For periods in which the Company reports net losses, diluted net loss per common share is the same as basic net loss per common share, because all potentially dilutive securities are anti-dilutive.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calculation of diluted net loss per share, net loss per share attributable to common stockholders for basic net loss per share is adjusted by the effect of dilutive securities, including awards under the 2011 Plan and 2025 Plan. Diluted net loss per share attributable to common stockholders is computed by dividing the resulting net loss attributable to common stockholders by the weighted-average number of fully diluted common shares outstanding. For the years ended December 31, 2025, 2024, and 2023, the Company’s potentially dilutive shares relating to stock options, RSUs, redeemable convertible preferred stock, redeemable convertible preferred stock warrants, and common stock warrants were not included in the computation of diluted net loss per share as the effect of including these shares in the calculation would have been anti-dilutive.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was calculated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2395"/>
        <w:gridCol w:w="1919"/>
        <w:gridCol w:w="1928"/>
        <w:gridCol w:w="211"/>
        <w:gridCol w:w="767"/>
        <w:gridCol w:w="109"/>
        <w:gridCol w:w="109"/>
        <w:gridCol w:w="109"/>
        <w:gridCol w:w="109"/>
        <w:gridCol w:w="211"/>
        <w:gridCol w:w="767"/>
        <w:gridCol w:w="109"/>
        <w:gridCol w:w="109"/>
        <w:gridCol w:w="109"/>
        <w:gridCol w:w="109"/>
        <w:gridCol w:w="211"/>
        <w:gridCol w:w="767"/>
        <w:gridCol w:w="157"/>
      </w:tblGrid>
      <w:tr>
        <w:trPr/>
        <w:tc>
          <w:tcPr>
            <w:tcW w:w="2395"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attributable to common stockholders, basic and diluted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 was in a loss position for the years ended December 31, 2025, 2024, and 2023, basic net loss per share is the same as diluted net loss per share as the inclusion of all potential shares of common stock outstanding would have been anti-dilutive. Potentially dilutive securities that were not included in the diluted per-share calculations because they would have been anti-dilutive were as follows (in thousands): </w:t>
      </w:r>
    </w:p>
    <w:tbl>
      <w:tblPr>
        <w:tblW w:w="9431" w:type="dxa"/>
        <w:jc w:val="left"/>
        <w:tblInd w:w="0" w:type="dxa"/>
        <w:tblLayout w:type="fixed"/>
        <w:tblCellMar>
          <w:top w:w="28" w:type="dxa"/>
          <w:left w:w="28" w:type="dxa"/>
          <w:bottom w:w="28" w:type="dxa"/>
          <w:right w:w="28" w:type="dxa"/>
        </w:tblCellMar>
      </w:tblPr>
      <w:tblGrid>
        <w:gridCol w:w="2207"/>
        <w:gridCol w:w="1938"/>
        <w:gridCol w:w="1944"/>
        <w:gridCol w:w="360"/>
        <w:gridCol w:w="361"/>
        <w:gridCol w:w="156"/>
        <w:gridCol w:w="109"/>
        <w:gridCol w:w="109"/>
        <w:gridCol w:w="109"/>
        <w:gridCol w:w="360"/>
        <w:gridCol w:w="361"/>
        <w:gridCol w:w="156"/>
        <w:gridCol w:w="109"/>
        <w:gridCol w:w="109"/>
        <w:gridCol w:w="109"/>
        <w:gridCol w:w="360"/>
        <w:gridCol w:w="361"/>
        <w:gridCol w:w="213"/>
      </w:tblGrid>
      <w:tr>
        <w:trPr/>
        <w:tc>
          <w:tcPr>
            <w:tcW w:w="2207"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on an as-converted basis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outstanding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 on an as-converted basis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49,924 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evaluated the impact of events that have occurred subsequent to December 31, 2025, through the date the consolidated financial statements were filed with the SEC. Based on this evaluation, other than as recorded or disclosed within these consolidated financial statements and related notes, the Company has determined that there are no material subsequent events that would require recognition or disclosure.</w:t>
      </w:r>
    </w:p>
    <w:p>
      <w:pPr>
        <w:pStyle w:val="TextBody"/>
        <w:bidi w:val="0"/>
        <w:spacing w:before="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240"/>
        <w:jc w:val="both"/>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reports that we file or submit under the Exchange Act, are recorded, processed, summarized and reported within the time periods specified in SEC rules and forms, and that such information is accumulated and communicated to our management, including our Chief Executive Officer (our principal executive officer) and Chief Financial Officer (our principal financial officer) as appropriate, to allow for timely decisions regarding required disclosure.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December 31, 2025. Based on such evaluation, our Chief Executive Officer and Chief Financial Officer have concluded that as of December 31, 2025, our disclosure controls and procedures were not effective because of the material weakness in internal control over financial reporting described below.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Notwithstanding such material weakness in internal control over financial reporting, our management, including our Chief Executive Officer and Chief Financial Officer, has concluded that our consolidated balance sheets as of December 31, 2025 and 2024, the related consolidated statements of operations and comprehensive loss, redeemable convertible preferred stock and stockholders’ equity (deficit), and cash flows for each of years in the three-year period ended December 31, 2025, present fairly, in all material respects, our financial position, results of our operations and our cash flows for the periods presented in this Annual Report on Form 10-K, in conformity with GAAP.</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Previously Disclosed Material Weaknesses</w:t>
      </w:r>
    </w:p>
    <w:p>
      <w:pPr>
        <w:pStyle w:val="TextBody"/>
        <w:bidi w:val="0"/>
        <w:spacing w:before="0" w:after="0"/>
        <w:jc w:val="both"/>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disclosed in the section titled “Risk Factors”, during fiscal year 2025, with the oversight of the Audit Committee of the Board of Directors, the Company began implementing a remediation plan to address the material weaknesses identified as of December 31, 2025 and 2024 related to (i) inadequate segregation of duties within the Company’s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 The Company expanded its finance and accounting team, including hiring a number of additional individuals with the requisite technical accounting and finance knowledge and experience to assist with the enhancement and implementation of internal control policies and procedures related to the accounting matters in our business. Furthermore, we have engaged third-party resources with the appropriate technical knowledge and experience to assist with the implementation and assessment of related internal controls.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dedicated resources have been onboarded to address the previously disclosed material weaknesses, we believe we are now able to conduct an effective process that is responsive to changes in the Company’s operating environment and business. These dedicated resources have allowed us to (1) implement enhanced process-level controls around the technical accounting for the timely resolution of accounting issues in non-routine or complex transactions and (2) implement additional information technology procedures and entity level controls to ensure a greater degree of segregation of duties and refining processes for user access within financial reporting systems. Management has determined that these enhancements to our process-level, entity-level, and information technology controls, are operating effectively and consider the previously identified material weaknesses related to (i) inadequate segregation of duties within the Company’s financial reporting process and (ii) insufficient complement of personnel with an appropriate level of technical knowledge to properly account for significant transactions to be each remediated as of December 31,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Despite the progress discussed above, during 2025 there were several matters that hindered our ability to fully remediate the previously identified material weakness related to inadequate formalized processes and control activities to support the financial close and reporting process, including the review of financial information, account analysis, and journal entries. These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240"/>
        <w:jc w:val="both"/>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pPr>
      <w:r>
        <w:rPr>
          <w:rFonts w:ascii="Times New Roman;serif" w:hAnsi="Times New Roman;serif"/>
          <w:b w:val="false"/>
          <w:color w:val="000000"/>
          <w:sz w:val="20"/>
        </w:rPr>
        <w:t>1)</w:t>
      </w:r>
      <w:r>
        <w:rPr>
          <w:rFonts w:ascii="Times New Roman;serif" w:hAnsi="Times New Roman;serif"/>
          <w:b w:val="false"/>
          <w:color w:val="000000"/>
          <w:sz w:val="20"/>
        </w:rPr>
        <w:t>We experienced significant growth in our market offerings, and our business operations, which has resulted in an increase in the volume of transactions that require formalized controls that we were not able to implement in timely manner.</w:t>
      </w:r>
    </w:p>
    <w:p>
      <w:pPr>
        <w:pStyle w:val="TextBody"/>
        <w:bidi w:val="0"/>
        <w:spacing w:lineRule="auto" w:line="288" w:before="0" w:after="240"/>
        <w:ind w:left="0" w:right="0" w:firstLine="450"/>
        <w:jc w:val="both"/>
        <w:rPr/>
      </w:pPr>
      <w:r>
        <w:rPr>
          <w:rFonts w:ascii="Times New Roman;serif" w:hAnsi="Times New Roman;serif"/>
          <w:b w:val="false"/>
          <w:color w:val="000000"/>
          <w:sz w:val="20"/>
        </w:rPr>
        <w:t>2)</w:t>
      </w:r>
      <w:r>
        <w:rPr>
          <w:rFonts w:ascii="Times New Roman;serif" w:hAnsi="Times New Roman;serif"/>
          <w:b w:val="false"/>
          <w:color w:val="000000"/>
          <w:sz w:val="20"/>
        </w:rPr>
        <w:t>The onboarding of new accounting and finance personnel in 2025 to address the prior year material weaknesses resulted in delays in the timeliness of executing controls, or controls activities were performed without a sufficient amount of time to validate their operating effectiveness. We believe that these added resources and the implementation of newly designed controls require additional time to demonstrate operating effectiveness.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believe that our efforts have improved our internal control over financial reporting, remediation of the material weakness related to inadequate formalized processes and control activities to support the financial close and reporting process, including the review of financial information, account analysis, and journal entries, will require further validation and testing of the design and operating effectiveness of internal controls over a sustained period of financial reporting cycles.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Remediation Plans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Management’s remediation plan to address the material weakness existing as of December 31, 2025 related to inadequate formalized processes and control activities to support the financial close and reporting process, including the review of financial information, account analysis, and journal entries, includes the following:</w:t>
      </w:r>
    </w:p>
    <w:p>
      <w:pPr>
        <w:pStyle w:val="TextBody"/>
        <w:bidi w:val="0"/>
        <w:spacing w:before="0" w:after="0"/>
        <w:ind w:left="0" w:right="0" w:firstLine="450"/>
        <w:jc w:val="both"/>
        <w:rPr/>
      </w:pPr>
      <w:r>
        <w:rPr/>
      </w:r>
    </w:p>
    <w:p>
      <w:pPr>
        <w:pStyle w:val="TextBody"/>
        <w:bidi w:val="0"/>
        <w:spacing w:lineRule="auto" w:line="288" w:before="0" w:after="240"/>
        <w:ind w:left="0" w:right="0" w:firstLine="450"/>
        <w:jc w:val="both"/>
        <w:rPr/>
      </w:pPr>
      <w:r>
        <w:rPr>
          <w:color w:val="000000"/>
        </w:rPr>
        <w:t>•</w:t>
      </w:r>
      <w:r>
        <w:rPr>
          <w:rFonts w:ascii="Times New Roman;serif" w:hAnsi="Times New Roman;serif"/>
          <w:b w:val="false"/>
          <w:color w:val="000000"/>
          <w:sz w:val="20"/>
        </w:rPr>
        <w:t>Continuing to hire qualified technical accounting and financial reporting personnel with public company experience to perform control activities;</w:t>
      </w:r>
    </w:p>
    <w:p>
      <w:pPr>
        <w:pStyle w:val="TextBody"/>
        <w:bidi w:val="0"/>
        <w:spacing w:lineRule="auto" w:line="288" w:before="0" w:after="240"/>
        <w:ind w:left="0" w:right="0" w:firstLine="450"/>
        <w:jc w:val="both"/>
        <w:rPr/>
      </w:pPr>
      <w:r>
        <w:rPr>
          <w:color w:val="000000"/>
        </w:rPr>
        <w:t>•</w:t>
      </w:r>
      <w:r>
        <w:rPr>
          <w:rFonts w:ascii="Times New Roman;serif" w:hAnsi="Times New Roman;serif"/>
          <w:b w:val="false"/>
          <w:color w:val="000000"/>
          <w:sz w:val="20"/>
        </w:rPr>
        <w:t>Continuing the process of implementing, enhancing, and formalizing control activities related to significant accounts and disclosures; and</w:t>
      </w:r>
    </w:p>
    <w:p>
      <w:pPr>
        <w:pStyle w:val="TextBody"/>
        <w:bidi w:val="0"/>
        <w:spacing w:lineRule="auto" w:line="288" w:before="0" w:after="240"/>
        <w:ind w:left="0" w:right="0" w:firstLine="450"/>
        <w:jc w:val="both"/>
        <w:rPr/>
      </w:pPr>
      <w:r>
        <w:rPr>
          <w:color w:val="000000"/>
        </w:rPr>
        <w:t>•</w:t>
      </w:r>
      <w:r>
        <w:rPr>
          <w:rFonts w:ascii="Times New Roman;serif" w:hAnsi="Times New Roman;serif"/>
          <w:b w:val="false"/>
          <w:color w:val="000000"/>
          <w:sz w:val="20"/>
        </w:rPr>
        <w:t>Investing in additional technology infrastructure and refinement to enhance monitoring of financial transactions and exceptions and to promote related data integrity.</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we continue to evaluate and work to remediate the control deficiencies that gave rise to the material weakness, we may determine that additional measures or time are required to address the control deficiencies or that we need to modify or otherwise adjust the remediation measures described above. We will continue to assess the effectiveness of our remediation efforts in connection with our evaluation of our internal control over financial reporting.</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240"/>
        <w:ind w:left="0" w:right="0" w:firstLine="450"/>
        <w:jc w:val="both"/>
        <w:rPr/>
      </w:pPr>
      <w:r>
        <w:rPr>
          <w:rFonts w:ascii="Times New Roman;serif" w:hAnsi="Times New Roman;serif"/>
          <w:b w:val="false"/>
          <w:color w:val="000000"/>
          <w:sz w:val="20"/>
        </w:rPr>
        <w:t>Except for the remediation measures we are taking in connection with the material weakness described above, there were no changes in our internal control over financial reporting, as defined in Rules 13a-15(f) and 15d-15(f) under the Exchange Act, during the fiscal quarter ended December 31, 2025</w:t>
      </w:r>
      <w:r>
        <w:rPr>
          <w:color w:val="000000"/>
        </w:rPr>
        <w:t xml:space="preserve"> </w:t>
      </w:r>
      <w:r>
        <w:rPr>
          <w:rFonts w:ascii="Times New Roman;serif" w:hAnsi="Times New Roman;serif"/>
          <w:b w:val="false"/>
          <w:color w:val="000000"/>
          <w:sz w:val="20"/>
        </w:rPr>
        <w:t>that materially affected, or are reasonably likely to materially affect, our internal control over financial reporting.</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 on Effectiveness of Controls and Procedures</w:t>
      </w:r>
    </w:p>
    <w:p>
      <w:pPr>
        <w:pStyle w:val="TextBody"/>
        <w:bidi w:val="0"/>
        <w:spacing w:before="0" w:after="0"/>
        <w:jc w:val="both"/>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before="0" w:after="0"/>
        <w:jc w:val="both"/>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240"/>
        <w:jc w:val="both"/>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Insider Adoption or Termination of Trading Arrangements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December 31, 2025, none of our directors or officers informed us of the adoption or termination of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 that Prevent Inspections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240"/>
        <w:jc w:val="both"/>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this Item will be set forth in our Proxy Statement for the 2026 Annual Meeting of Stockholders to be filed with the SEC within 120 days of the fiscal year ended December 31, 2025 (the “2026 Proxy Statement”) and is incorporated herein by reference. The information required by this Item regarding delinquent filers pursuant to Item 405 of Regulation S-K, if any, will be included under the caption “Section 16(a) Beneficial Ownership Reporting Compliance” in the 2026 Proxy Statement and is incorporated herein by reference.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adopted a code of ethics that applies to our chief executive officer, chief financial officer, chief accounting officer, controller, and other finance leaders, which is a “code of ethics” as defined by applicable rules of the SEC. This code is publicly available on our website at https://investors.omadahealth.com/corporate-governance/documents-charters. We intend to disclose future amendments to, or waivers of, our Code of Conduct, as and to the extent required by SEC regulations, at the same location on our website identified above or in public filings.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has adopted an Insider Trading Policy applicable to trading in the Company’s securities. The Insider Trading Policy applies to all directors, officers, employees and agents (such as consultants and independent contractors) of the Company. The full text of our Insider Trading Policy can be found in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 and Management and Related Stockholder Matters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240"/>
        <w:jc w:val="both"/>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the Exhibit Index attached to this Annual Report on Form 10-K, which Exhibit Index is incorporated herein by reference.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Schedules not listed above have been omitted because the information required to be set forth therein is not applicable or is shown in the financial statements or notes thereto.</w:t>
      </w:r>
    </w:p>
    <w:tbl>
      <w:tblPr>
        <w:tblW w:w="10205" w:type="dxa"/>
        <w:jc w:val="left"/>
        <w:tblInd w:w="0" w:type="dxa"/>
        <w:tblLayout w:type="fixed"/>
        <w:tblCellMar>
          <w:top w:w="28" w:type="dxa"/>
          <w:left w:w="28" w:type="dxa"/>
          <w:bottom w:w="28" w:type="dxa"/>
          <w:right w:w="28" w:type="dxa"/>
        </w:tblCellMar>
      </w:tblPr>
      <w:tblGrid>
        <w:gridCol w:w="260"/>
        <w:gridCol w:w="230"/>
        <w:gridCol w:w="231"/>
        <w:gridCol w:w="109"/>
        <w:gridCol w:w="109"/>
        <w:gridCol w:w="109"/>
        <w:gridCol w:w="1945"/>
        <w:gridCol w:w="1683"/>
        <w:gridCol w:w="1604"/>
        <w:gridCol w:w="109"/>
        <w:gridCol w:w="109"/>
        <w:gridCol w:w="109"/>
        <w:gridCol w:w="171"/>
        <w:gridCol w:w="171"/>
        <w:gridCol w:w="172"/>
        <w:gridCol w:w="111"/>
        <w:gridCol w:w="111"/>
        <w:gridCol w:w="111"/>
        <w:gridCol w:w="187"/>
        <w:gridCol w:w="187"/>
        <w:gridCol w:w="191"/>
        <w:gridCol w:w="111"/>
        <w:gridCol w:w="111"/>
        <w:gridCol w:w="111"/>
        <w:gridCol w:w="230"/>
        <w:gridCol w:w="230"/>
        <w:gridCol w:w="231"/>
        <w:gridCol w:w="109"/>
        <w:gridCol w:w="109"/>
        <w:gridCol w:w="109"/>
        <w:gridCol w:w="242"/>
        <w:gridCol w:w="242"/>
        <w:gridCol w:w="351"/>
      </w:tblGrid>
      <w:tr>
        <w:trPr/>
        <w:tc>
          <w:tcPr>
            <w:tcW w:w="2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72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Form of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42xdescriptionofca.htm">
              <w:r>
                <w:rPr>
                  <w:rStyle w:val="InternetLink"/>
                  <w:rFonts w:ascii="Times New Roman;serif" w:hAnsi="Times New Roman;serif"/>
                  <w:b w:val="false"/>
                  <w:color w:val="000080"/>
                  <w:sz w:val="20"/>
                  <w:u w:val="single"/>
                </w:rPr>
                <w:t>Des</w:t>
              </w:r>
            </w:hyperlink>
            <w:hyperlink w:anchor="omada-ex42xdescriptionofca.htm">
              <w:r>
                <w:rPr>
                  <w:rStyle w:val="InternetLink"/>
                  <w:rFonts w:ascii="Times New Roman;serif" w:hAnsi="Times New Roman;serif"/>
                  <w:b w:val="false"/>
                  <w:color w:val="000080"/>
                  <w:sz w:val="20"/>
                  <w:u w:val="single"/>
                </w:rPr>
                <w:t>cription of</w:t>
              </w:r>
            </w:hyperlink>
            <w:hyperlink w:anchor="omada-ex42xdescriptionofca.htm">
              <w:r>
                <w:rPr>
                  <w:rStyle w:val="InternetLink"/>
                  <w:rFonts w:ascii="Times New Roman;serif" w:hAnsi="Times New Roman;serif"/>
                  <w:b w:val="false"/>
                  <w:color w:val="000080"/>
                  <w:sz w:val="20"/>
                  <w:u w:val="single"/>
                </w:rPr>
                <w:t xml:space="preserve">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Amended and Restated Investors’ Rights Agreement, dated December 22, 2021, by and among Omada Health, Inc. and the investors listed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Services Agreement, dated as of February 1, 2018, by and between Omada Health, Inc. and Cigna Health and Life Insurance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Amendment No. 1 to Services Agreement, dated as of February 1, 2018, by and between Omada Health, Inc. and Cigna Health and Life Insurance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80"/>
                  <w:sz w:val="20"/>
                  <w:u w:val="single"/>
                </w:rPr>
                <w:t>M</w:t>
              </w:r>
            </w:hyperlink>
            <w:hyperlink r:id="rId10">
              <w:r>
                <w:rPr>
                  <w:rStyle w:val="InternetLink"/>
                  <w:rFonts w:ascii="Times New Roman;serif" w:hAnsi="Times New Roman;serif"/>
                  <w:b w:val="false"/>
                  <w:color w:val="000080"/>
                  <w:sz w:val="20"/>
                  <w:u w:val="single"/>
                </w:rPr>
                <w:t>aster Services Agreement, dated January 1, 2020, by and between Express Scripts Holding Company, Inc. and Omada Health, I</w:t>
              </w:r>
            </w:hyperlink>
            <w:hyperlink r:id="rId11">
              <w:r>
                <w:rPr>
                  <w:rStyle w:val="InternetLink"/>
                  <w:rFonts w:ascii="Times New Roman;serif" w:hAnsi="Times New Roman;serif"/>
                  <w:b w:val="false"/>
                  <w:color w:val="000080"/>
                  <w:sz w:val="20"/>
                  <w:u w:val="single"/>
                </w:rPr>
                <w:t>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80"/>
                  <w:sz w:val="20"/>
                  <w:u w:val="single"/>
                </w:rPr>
                <w:t>A</w:t>
              </w:r>
            </w:hyperlink>
            <w:hyperlink r:id="rId13">
              <w:r>
                <w:rPr>
                  <w:rStyle w:val="InternetLink"/>
                  <w:rFonts w:ascii="Times New Roman;serif" w:hAnsi="Times New Roman;serif"/>
                  <w:b w:val="false"/>
                  <w:color w:val="000080"/>
                  <w:sz w:val="20"/>
                  <w:u w:val="single"/>
                </w:rPr>
                <w:t>mendment No. 1 to</w:t>
              </w:r>
            </w:hyperlink>
            <w:hyperlink r:id="rId14">
              <w:r>
                <w:rPr>
                  <w:rStyle w:val="InternetLink"/>
                  <w:rFonts w:ascii="Times New Roman;serif" w:hAnsi="Times New Roman;serif"/>
                  <w:b w:val="false"/>
                  <w:color w:val="000080"/>
                  <w:sz w:val="20"/>
                  <w:u w:val="single"/>
                </w:rPr>
                <w:t xml:space="preserve"> </w:t>
              </w:r>
            </w:hyperlink>
            <w:hyperlink r:id="rId15">
              <w:r>
                <w:rPr>
                  <w:rStyle w:val="InternetLink"/>
                  <w:rFonts w:ascii="Times New Roman;serif" w:hAnsi="Times New Roman;serif"/>
                  <w:b w:val="false"/>
                  <w:color w:val="000080"/>
                  <w:sz w:val="20"/>
                  <w:u w:val="single"/>
                </w:rPr>
                <w:t>Master Services Agreement, dated as of July 22, 2021, by and between Evernorth Health, Inc., f/k/a Express Scripts Health and Welfare Plan and Express Scripts Holding Company, Inc. (f/k/a ESHC), and Omada Health,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Amendment No. 2 to Master Services Agreement, dated as of February 14, 2023, by and between Evernorth Health, Inc., f/k/a Express Scripts Holding Company, Inc., and Omada Health,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ignaevn-amend3tomsawith.htm">
              <w:r>
                <w:rPr>
                  <w:rStyle w:val="InternetLink"/>
                  <w:rFonts w:ascii="Times New Roman;serif" w:hAnsi="Times New Roman;serif"/>
                  <w:b w:val="false"/>
                  <w:color w:val="0000FF"/>
                  <w:sz w:val="20"/>
                  <w:u w:val="single"/>
                </w:rPr>
                <w:t>Amendment No. 3 to Master Services Agreement, dated as of October 29, 2025, by and between Evernorth Health, Inc., f/k/a Express Scripts Holding Company, Inc., and Omada Health,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Administrative Services Agreement, dated as of January 1, 2020, by and between Omada Health, Inc. and Cigna Health and Life Insurance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Amendment No. 1 to Administrative Services Agreement, dated as of April 6, 2021, by and between Omada Health, Inc. and Cigna Health and Life Insurance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Amendment No. 2 to Administrative Service Agreement, dated as of March 7, 2022, by and between Omada Health, Inc. and Cigna Health and Life Insurance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Administrative Services Agreement, dated as of December 13, 2022, by and between Omada Health, Inc. and Allegiance Benefit Plan Management,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Ancillary Services Agreement, dated as of May 31, 2018, by and between Omada Health, Inc. and Cigna Health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Amendment No. 1 to Ancillary Services Agreement, dated as of January 1, 2019, by and between Omada Health, Inc. and Cigna Health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Amendment No. 2 to Ancillary Services Agreement, dated as of January 16, 2019, by and between Omada Health, Inc. and Cigna Health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Amendment No. 3 to Ancillary Services Agreement, dated as of January 1, 2020, by and between Omada Health, Inc., and Cigna Health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Amendment No. 4 to Ancillary Services Agreement, effective as of June 1, 2025, by and between Omada Health, Inc. and Cigna Health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5/29/2025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hibit105fcigna-amend5top.htm">
              <w:r>
                <w:rPr>
                  <w:rStyle w:val="InternetLink"/>
                  <w:rFonts w:ascii="Times New Roman;serif" w:hAnsi="Times New Roman;serif"/>
                  <w:b w:val="false"/>
                  <w:color w:val="0000FF"/>
                  <w:sz w:val="20"/>
                  <w:u w:val="single"/>
                </w:rPr>
                <w:t>Amendment No. 5 to Ancillary Services Agreement, effective as of January 1, 2026, by and between Omada Health, Inc. and Cigna Health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80"/>
                  <w:sz w:val="20"/>
                  <w:u w:val="single"/>
                </w:rPr>
                <w:t>2</w:t>
              </w:r>
            </w:hyperlink>
            <w:hyperlink r:id="rId27">
              <w:r>
                <w:rPr>
                  <w:rStyle w:val="InternetLink"/>
                  <w:rFonts w:ascii="Times New Roman;serif" w:hAnsi="Times New Roman;serif"/>
                  <w:b w:val="false"/>
                  <w:color w:val="000080"/>
                  <w:sz w:val="20"/>
                  <w:u w:val="single"/>
                </w:rPr>
                <w:t>011 Stock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80"/>
                  <w:sz w:val="20"/>
                  <w:u w:val="single"/>
                </w:rPr>
                <w:t>F</w:t>
              </w:r>
            </w:hyperlink>
            <w:hyperlink r:id="rId29">
              <w:r>
                <w:rPr>
                  <w:rStyle w:val="InternetLink"/>
                  <w:rFonts w:ascii="Times New Roman;serif" w:hAnsi="Times New Roman;serif"/>
                  <w:b w:val="false"/>
                  <w:color w:val="000080"/>
                  <w:sz w:val="20"/>
                  <w:u w:val="single"/>
                </w:rPr>
                <w:t>orm Agreements under 2011 Stock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5/29/2025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80"/>
                  <w:sz w:val="20"/>
                  <w:u w:val="single"/>
                </w:rPr>
                <w:t>2</w:t>
              </w:r>
            </w:hyperlink>
            <w:hyperlink r:id="rId31">
              <w:r>
                <w:rPr>
                  <w:rStyle w:val="InternetLink"/>
                  <w:rFonts w:ascii="Times New Roman;serif" w:hAnsi="Times New Roman;serif"/>
                  <w:b w:val="false"/>
                  <w:color w:val="000080"/>
                  <w:sz w:val="20"/>
                  <w:u w:val="single"/>
                </w:rPr>
                <w:t>025 Incentive Awar</w:t>
              </w:r>
            </w:hyperlink>
            <w:hyperlink r:id="rId32">
              <w:r>
                <w:rPr>
                  <w:rStyle w:val="InternetLink"/>
                  <w:rFonts w:ascii="Times New Roman;serif" w:hAnsi="Times New Roman;serif"/>
                  <w:b w:val="false"/>
                  <w:color w:val="000080"/>
                  <w:sz w:val="20"/>
                  <w:u w:val="single"/>
                </w:rPr>
                <w:t>d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5/29/2025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Form Agreements under 2025 Incentive Award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Non-Employee Director Compensation Program (as amended August 28,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11/7/2025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80"/>
                  <w:sz w:val="20"/>
                  <w:u w:val="single"/>
                </w:rPr>
                <w:t>2</w:t>
              </w:r>
            </w:hyperlink>
            <w:hyperlink r:id="rId36">
              <w:r>
                <w:rPr>
                  <w:rStyle w:val="InternetLink"/>
                  <w:rFonts w:ascii="Times New Roman;serif" w:hAnsi="Times New Roman;serif"/>
                  <w:b w:val="false"/>
                  <w:color w:val="000080"/>
                  <w:sz w:val="20"/>
                  <w:u w:val="single"/>
                </w:rPr>
                <w:t>025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5/29/2025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80"/>
                  <w:sz w:val="20"/>
                  <w:u w:val="single"/>
                </w:rPr>
                <w:t>F</w:t>
              </w:r>
            </w:hyperlink>
            <w:hyperlink r:id="rId38">
              <w:r>
                <w:rPr>
                  <w:rStyle w:val="InternetLink"/>
                  <w:rFonts w:ascii="Times New Roman;serif" w:hAnsi="Times New Roman;serif"/>
                  <w:b w:val="false"/>
                  <w:color w:val="000080"/>
                  <w:sz w:val="20"/>
                  <w:u w:val="single"/>
                </w:rPr>
                <w:t>orm of I</w:t>
              </w:r>
            </w:hyperlink>
            <w:hyperlink r:id="rId39">
              <w:r>
                <w:rPr>
                  <w:rStyle w:val="InternetLink"/>
                  <w:rFonts w:ascii="Times New Roman;serif" w:hAnsi="Times New Roman;serif"/>
                  <w:b w:val="false"/>
                  <w:color w:val="000080"/>
                  <w:sz w:val="20"/>
                  <w:u w:val="single"/>
                </w:rPr>
                <w:t>ndemnification Agre</w:t>
              </w:r>
            </w:hyperlink>
            <w:hyperlink r:id="rId40">
              <w:r>
                <w:rPr>
                  <w:rStyle w:val="InternetLink"/>
                  <w:rFonts w:ascii="Times New Roman;serif" w:hAnsi="Times New Roman;serif"/>
                  <w:b w:val="false"/>
                  <w:color w:val="000080"/>
                  <w:sz w:val="20"/>
                  <w:u w:val="single"/>
                </w:rPr>
                <w:t xml:space="preserve">ement for </w:t>
              </w:r>
            </w:hyperlink>
            <w:hyperlink r:id="rId41">
              <w:r>
                <w:rPr>
                  <w:rStyle w:val="InternetLink"/>
                  <w:rFonts w:ascii="Times New Roman;serif" w:hAnsi="Times New Roman;serif"/>
                  <w:b w:val="false"/>
                  <w:color w:val="000080"/>
                  <w:sz w:val="20"/>
                  <w:u w:val="single"/>
                </w:rPr>
                <w:t>Directors and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80"/>
                  <w:sz w:val="20"/>
                  <w:u w:val="single"/>
                </w:rPr>
                <w:t>O</w:t>
              </w:r>
            </w:hyperlink>
            <w:hyperlink r:id="rId43">
              <w:r>
                <w:rPr>
                  <w:rStyle w:val="InternetLink"/>
                  <w:rFonts w:ascii="Times New Roman;serif" w:hAnsi="Times New Roman;serif"/>
                  <w:b w:val="false"/>
                  <w:color w:val="000080"/>
                  <w:sz w:val="20"/>
                  <w:u w:val="single"/>
                </w:rPr>
                <w:t xml:space="preserve">ffer Letter, by and between Omada Health, Inc. </w:t>
              </w:r>
            </w:hyperlink>
            <w:hyperlink r:id="rId44">
              <w:r>
                <w:rPr>
                  <w:rStyle w:val="InternetLink"/>
                  <w:rFonts w:ascii="Times New Roman;serif" w:hAnsi="Times New Roman;serif"/>
                  <w:b w:val="false"/>
                  <w:color w:val="000080"/>
                  <w:sz w:val="20"/>
                  <w:u w:val="single"/>
                </w:rPr>
                <w:t>and Steve Cook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80"/>
                  <w:sz w:val="20"/>
                  <w:u w:val="single"/>
                </w:rPr>
                <w:t>O</w:t>
              </w:r>
            </w:hyperlink>
            <w:hyperlink r:id="rId46">
              <w:r>
                <w:rPr>
                  <w:rStyle w:val="InternetLink"/>
                  <w:rFonts w:ascii="Times New Roman;serif" w:hAnsi="Times New Roman;serif"/>
                  <w:b w:val="false"/>
                  <w:color w:val="000080"/>
                  <w:sz w:val="20"/>
                  <w:u w:val="single"/>
                </w:rPr>
                <w:t>ffer Letter, by and between Omada Health,</w:t>
              </w:r>
            </w:hyperlink>
            <w:hyperlink r:id="rId47">
              <w:r>
                <w:rPr>
                  <w:rStyle w:val="InternetLink"/>
                  <w:rFonts w:ascii="Times New Roman;serif" w:hAnsi="Times New Roman;serif"/>
                  <w:b w:val="false"/>
                  <w:color w:val="000080"/>
                  <w:sz w:val="20"/>
                  <w:u w:val="single"/>
                </w:rPr>
                <w:t xml:space="preserve"> Inc. and Wei-Li Shao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80"/>
                  <w:sz w:val="20"/>
                  <w:u w:val="single"/>
                </w:rPr>
                <w:t>F</w:t>
              </w:r>
            </w:hyperlink>
            <w:hyperlink r:id="rId49">
              <w:r>
                <w:rPr>
                  <w:rStyle w:val="InternetLink"/>
                  <w:rFonts w:ascii="Times New Roman;serif" w:hAnsi="Times New Roman;serif"/>
                  <w:b w:val="false"/>
                  <w:color w:val="000080"/>
                  <w:sz w:val="20"/>
                  <w:u w:val="single"/>
                </w:rPr>
                <w:t>orm of C</w:t>
              </w:r>
            </w:hyperlink>
            <w:hyperlink r:id="rId50">
              <w:r>
                <w:rPr>
                  <w:rStyle w:val="InternetLink"/>
                  <w:rFonts w:ascii="Times New Roman;serif" w:hAnsi="Times New Roman;serif"/>
                  <w:b w:val="false"/>
                  <w:color w:val="000080"/>
                  <w:sz w:val="20"/>
                  <w:u w:val="single"/>
                </w:rPr>
                <w:t>ha</w:t>
              </w:r>
            </w:hyperlink>
            <w:hyperlink r:id="rId51">
              <w:r>
                <w:rPr>
                  <w:rStyle w:val="InternetLink"/>
                  <w:rFonts w:ascii="Times New Roman;serif" w:hAnsi="Times New Roman;serif"/>
                  <w:b w:val="false"/>
                  <w:color w:val="000080"/>
                  <w:sz w:val="20"/>
                  <w:u w:val="single"/>
                </w:rPr>
                <w:t xml:space="preserve">nge in Control and </w:t>
              </w:r>
            </w:hyperlink>
            <w:hyperlink r:id="rId52">
              <w:r>
                <w:rPr>
                  <w:rStyle w:val="InternetLink"/>
                  <w:rFonts w:ascii="Times New Roman;serif" w:hAnsi="Times New Roman;serif"/>
                  <w:b w:val="false"/>
                  <w:color w:val="000080"/>
                  <w:sz w:val="20"/>
                  <w:u w:val="single"/>
                </w:rPr>
                <w:t>Severance Agreement for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hibit191-insidertradingp.htm">
              <w:r>
                <w:rPr>
                  <w:rStyle w:val="InternetLink"/>
                  <w:rFonts w:ascii="Times New Roman;serif" w:hAnsi="Times New Roman;serif"/>
                  <w:b w:val="false"/>
                  <w:color w:val="000080"/>
                  <w:sz w:val="20"/>
                  <w:u w:val="single"/>
                </w:rPr>
                <w:t xml:space="preserve">Omada Health, </w:t>
              </w:r>
            </w:hyperlink>
            <w:hyperlink w:anchor="exhibit191-insidertradingp.htm">
              <w:r>
                <w:rPr>
                  <w:rStyle w:val="InternetLink"/>
                  <w:rFonts w:ascii="Times New Roman;serif" w:hAnsi="Times New Roman;serif"/>
                  <w:b w:val="false"/>
                  <w:color w:val="000080"/>
                  <w:sz w:val="20"/>
                  <w:u w:val="single"/>
                </w:rPr>
                <w:t xml:space="preserve">Inc. </w:t>
              </w:r>
            </w:hyperlink>
            <w:hyperlink w:anchor="exhibit191-insidertradingp.htm">
              <w:r>
                <w:rPr>
                  <w:rStyle w:val="InternetLink"/>
                  <w:rFonts w:ascii="Times New Roman;serif" w:hAnsi="Times New Roman;serif"/>
                  <w:b w:val="false"/>
                  <w:color w:val="000080"/>
                  <w:sz w:val="20"/>
                  <w:u w:val="single"/>
                </w:rPr>
                <w:t>I</w:t>
              </w:r>
            </w:hyperlink>
            <w:hyperlink w:anchor="exhibit191-insidertradingp.htm">
              <w:r>
                <w:rPr>
                  <w:rStyle w:val="InternetLink"/>
                  <w:rFonts w:ascii="Times New Roman;serif" w:hAnsi="Times New Roman;serif"/>
                  <w:b w:val="false"/>
                  <w:color w:val="000080"/>
                  <w:sz w:val="20"/>
                  <w:u w:val="single"/>
                </w:rPr>
                <w:t>nsider Trading Pol</w:t>
              </w:r>
            </w:hyperlink>
            <w:hyperlink w:anchor="exhibit191-insidertradingp.htm">
              <w:r>
                <w:rPr>
                  <w:rStyle w:val="InternetLink"/>
                  <w:rFonts w:ascii="Times New Roman;serif" w:hAnsi="Times New Roman;serif"/>
                  <w:b w:val="false"/>
                  <w:color w:val="000080"/>
                  <w:sz w:val="20"/>
                  <w:u w:val="single"/>
                </w:rPr>
                <w:t>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da-ex211xsubsidiaries.htm">
              <w:r>
                <w:rPr>
                  <w:rStyle w:val="InternetLink"/>
                  <w:rFonts w:ascii="Times New Roman;serif" w:hAnsi="Times New Roman;serif"/>
                  <w:b w:val="false"/>
                  <w:color w:val="000080"/>
                  <w:sz w:val="20"/>
                  <w:u w:val="single"/>
                </w:rPr>
                <w:t>S</w:t>
              </w:r>
            </w:hyperlink>
            <w:hyperlink w:anchor="omda-ex211xsubsidiaries.htm">
              <w:r>
                <w:rPr>
                  <w:rStyle w:val="InternetLink"/>
                  <w:rFonts w:ascii="Times New Roman;serif" w:hAnsi="Times New Roman;serif"/>
                  <w:b w:val="false"/>
                  <w:color w:val="000080"/>
                  <w:sz w:val="20"/>
                  <w:u w:val="single"/>
                </w:rPr>
                <w:t>ubsidiaries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healthconsent10-kv3326.htm">
              <w:r>
                <w:rPr>
                  <w:rStyle w:val="InternetLink"/>
                  <w:rFonts w:ascii="Times New Roman;serif" w:hAnsi="Times New Roman;serif"/>
                  <w:b w:val="false"/>
                  <w:color w:val="000080"/>
                  <w:sz w:val="20"/>
                  <w:u w:val="single"/>
                </w:rPr>
                <w:t>C</w:t>
              </w:r>
            </w:hyperlink>
            <w:hyperlink w:anchor="omadahealthconsent10-kv3326.htm">
              <w:r>
                <w:rPr>
                  <w:rStyle w:val="InternetLink"/>
                  <w:rFonts w:ascii="Times New Roman;serif" w:hAnsi="Times New Roman;serif"/>
                  <w:b w:val="false"/>
                  <w:color w:val="000080"/>
                  <w:sz w:val="20"/>
                  <w:u w:val="single"/>
                </w:rPr>
                <w:t>onsent of D</w:t>
              </w:r>
            </w:hyperlink>
            <w:hyperlink w:anchor="omadahealthconsent10-kv3326.htm">
              <w:r>
                <w:rPr>
                  <w:rStyle w:val="InternetLink"/>
                  <w:rFonts w:ascii="Times New Roman;serif" w:hAnsi="Times New Roman;serif"/>
                  <w:b w:val="false"/>
                  <w:color w:val="000080"/>
                  <w:sz w:val="20"/>
                  <w:u w:val="single"/>
                </w:rPr>
                <w:t>eloitte</w:t>
              </w:r>
            </w:hyperlink>
            <w:hyperlink w:anchor="omadahealthconsent10-kv3326.htm">
              <w:r>
                <w:rPr>
                  <w:rStyle w:val="InternetLink"/>
                  <w:rFonts w:ascii="Times New Roman;serif" w:hAnsi="Times New Roman;serif"/>
                  <w:b w:val="false"/>
                  <w:color w:val="000080"/>
                  <w:sz w:val="20"/>
                  <w:u w:val="single"/>
                </w:rPr>
                <w:t xml:space="preserve"> &amp; Touche, LLP,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Power of Attorney (included in the signature page hereto)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da-ex311certificationxfy.htm">
              <w:r>
                <w:rPr>
                  <w:rStyle w:val="InternetLink"/>
                  <w:rFonts w:ascii="Times New Roman;serif" w:hAnsi="Times New Roman;serif"/>
                  <w:b w:val="false"/>
                  <w:color w:val="000080"/>
                  <w:sz w:val="20"/>
                  <w:u w:val="single"/>
                </w:rPr>
                <w:t xml:space="preserve">Certification of Principal Executive Officer Pursuant to Rules 13a-14(a) and 15d-14(a) under the Securities Exchange Act of 1934, as Adopted Pursuant to Section </w:t>
              </w:r>
            </w:hyperlink>
            <w:hyperlink w:anchor="omda-ex311certificationxfy.htm">
              <w:r>
                <w:rPr>
                  <w:rStyle w:val="InternetLink"/>
                  <w:rFonts w:ascii="Times New Roman;serif" w:hAnsi="Times New Roman;serif"/>
                  <w:b w:val="false"/>
                  <w:color w:val="000080"/>
                  <w:sz w:val="20"/>
                  <w:u w:val="single"/>
                </w:rPr>
                <w:t>3</w:t>
              </w:r>
            </w:hyperlink>
            <w:hyperlink w:anchor="omda-ex311certificationxfy.htm">
              <w:r>
                <w:rPr>
                  <w:rStyle w:val="InternetLink"/>
                  <w:rFonts w:ascii="Times New Roman;serif" w:hAnsi="Times New Roman;serif"/>
                  <w:b w:val="false"/>
                  <w:color w:val="000080"/>
                  <w:sz w:val="20"/>
                  <w:u w:val="single"/>
                </w:rPr>
                <w:t>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da-ex312certificationxfy.htm">
              <w:r>
                <w:rPr>
                  <w:rStyle w:val="InternetLink"/>
                  <w:rFonts w:ascii="Times New Roman;serif" w:hAnsi="Times New Roman;serif"/>
                  <w:b w:val="false"/>
                  <w:color w:val="000080"/>
                  <w:sz w:val="20"/>
                  <w:u w:val="single"/>
                </w:rPr>
                <w:t xml:space="preserve">Certification of Principal Financial Officer Pursuant to Rules 13a-14(a) and 15d-14(a) under the Securities Exchange Act of 1934, as Adopted Pursuant to Section </w:t>
              </w:r>
            </w:hyperlink>
            <w:hyperlink w:anchor="omda-ex312certificationxfy.htm">
              <w:r>
                <w:rPr>
                  <w:rStyle w:val="InternetLink"/>
                  <w:rFonts w:ascii="Times New Roman;serif" w:hAnsi="Times New Roman;serif"/>
                  <w:b w:val="false"/>
                  <w:color w:val="000080"/>
                  <w:sz w:val="20"/>
                  <w:u w:val="single"/>
                </w:rPr>
                <w:t>3</w:t>
              </w:r>
            </w:hyperlink>
            <w:hyperlink w:anchor="omda-ex312certificationxfy.htm">
              <w:r>
                <w:rPr>
                  <w:rStyle w:val="InternetLink"/>
                  <w:rFonts w:ascii="Times New Roman;serif" w:hAnsi="Times New Roman;serif"/>
                  <w:b w:val="false"/>
                  <w:color w:val="000080"/>
                  <w:sz w:val="20"/>
                  <w:u w:val="single"/>
                </w:rPr>
                <w:t>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da-ex321certificationxfy.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322certificationxf.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da-ex97xomadaclawbackpol.htm">
              <w:r>
                <w:rPr>
                  <w:rStyle w:val="InternetLink"/>
                  <w:rFonts w:ascii="Times New Roman;serif" w:hAnsi="Times New Roman;serif"/>
                  <w:b w:val="false"/>
                  <w:color w:val="000080"/>
                  <w:sz w:val="20"/>
                  <w:u w:val="single"/>
                </w:rPr>
                <w:t>O</w:t>
              </w:r>
            </w:hyperlink>
            <w:hyperlink w:anchor="omda-ex97xomadaclawbackpol.htm">
              <w:r>
                <w:rPr>
                  <w:rStyle w:val="InternetLink"/>
                  <w:rFonts w:ascii="Times New Roman;serif" w:hAnsi="Times New Roman;serif"/>
                  <w:b w:val="false"/>
                  <w:color w:val="000080"/>
                  <w:sz w:val="20"/>
                  <w:u w:val="single"/>
                </w:rPr>
                <w:t>mada Health, Inc. Policy for Recovery of Erroneously Awarded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Omada, Inc.’s Annual Report on Form 10-K for the year ended December 31, 2025 formatted in Inline XBRL (Extensible Business Reporting Language) includes: (i) the Consolidated Balance Sheets, (ii) the Consolidated Statements of Operations and Comprehensive Loss, (iii) the Consolidated Statements of Redeemable Convertible Preferred Stock and Stockholders’ Equity (Deficit), (iv) the Consolidated Statements of Cash Flows, and (v) Notes to the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Portions of the exhibit, marked by brackets, have been omitted in accordance with Item 601(b)(10) of Regulation S-K because the omitted information (i) is not material and (ii) is the type of information that Omada Health, Inc. treats as private or confidential.</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^Portions of this exhibit have been omitted in accordance with Item 601(a)(5) of Regulation S-K. Omada Health, Inc. undertakes to furnish a copy of all omitted schedules and exhibits to the SEC upon its request.</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and Exhibit 32.2 that accompany this Annual Report on Form 10-K are deemed furnished and not filed with the Securities and Exchange Commission and are not to be incorporated by reference into any filing of Omada Health, Inc. under the Securities Act of 1933, as amended, or the Securities Exchange Act of 1934, as amended, whether made before or after the date of this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556" w:before="24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240"/>
        <w:jc w:val="both"/>
        <w:rPr/>
      </w:pPr>
      <w:hyperlink w:anchor="i41d47451c94240ed97a8128572ac0cd2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Annual Report on Form 10-K to be signed on its behalf by the undersigned, thereunto duly authorized.</w:t>
      </w:r>
    </w:p>
    <w:tbl>
      <w:tblPr>
        <w:tblW w:w="4900" w:type="dxa"/>
        <w:jc w:val="left"/>
        <w:tblInd w:w="0" w:type="dxa"/>
        <w:tblLayout w:type="fixed"/>
        <w:tblCellMar>
          <w:top w:w="28" w:type="dxa"/>
          <w:left w:w="28" w:type="dxa"/>
          <w:bottom w:w="28" w:type="dxa"/>
          <w:right w:w="28" w:type="dxa"/>
        </w:tblCellMar>
      </w:tblPr>
      <w:tblGrid>
        <w:gridCol w:w="645"/>
        <w:gridCol w:w="568"/>
        <w:gridCol w:w="571"/>
        <w:gridCol w:w="349"/>
        <w:gridCol w:w="349"/>
        <w:gridCol w:w="349"/>
        <w:gridCol w:w="602"/>
        <w:gridCol w:w="602"/>
        <w:gridCol w:w="86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Sean Duffy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Sean Duffy and Steve Cook,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by the following persons on behalf of the registrant and in the capacities and on the dates indicated.</w:t>
      </w:r>
    </w:p>
    <w:p>
      <w:pPr>
        <w:pStyle w:val="TextBody"/>
        <w:bidi w:val="0"/>
        <w:spacing w:before="0" w:after="0"/>
        <w:jc w:val="left"/>
        <w:rPr/>
      </w:pPr>
      <w:r>
        <w:rPr/>
      </w:r>
    </w:p>
    <w:tbl>
      <w:tblPr>
        <w:tblW w:w="6523" w:type="dxa"/>
        <w:jc w:val="left"/>
        <w:tblInd w:w="0" w:type="dxa"/>
        <w:tblLayout w:type="fixed"/>
        <w:tblCellMar>
          <w:top w:w="28" w:type="dxa"/>
          <w:left w:w="28" w:type="dxa"/>
          <w:bottom w:w="28" w:type="dxa"/>
          <w:right w:w="28" w:type="dxa"/>
        </w:tblCellMar>
      </w:tblPr>
      <w:tblGrid>
        <w:gridCol w:w="764"/>
        <w:gridCol w:w="673"/>
        <w:gridCol w:w="677"/>
        <w:gridCol w:w="1020"/>
        <w:gridCol w:w="1020"/>
        <w:gridCol w:w="1034"/>
        <w:gridCol w:w="389"/>
        <w:gridCol w:w="389"/>
        <w:gridCol w:w="55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and Signature</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Title</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Sean Duffy</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Sean Duffy</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Steve Cook</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Steve Cook</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Craig Gracey</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Craig Gracey</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Jeryl Hilleman</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Jeryl Hilleman</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Anne Beal</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Anne Beal, M.D., M.P.H.</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Trevor Fetter</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Trevor Fetter</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Sachin Jain</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Sachin Jain, M.D.</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Julie Klapstein</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Julie Klapstein</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Jonathan Root</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Jonathan Root, M.D.</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240"/>
        <w:jc w:val="both"/>
        <w:rPr/>
      </w:pPr>
      <w:hyperlink w:anchor="i41d47451c94240ed97a8128572ac0cd2_7">
        <w:r>
          <w:rPr>
            <w:rStyle w:val="InternetLink"/>
            <w:rFonts w:ascii="Times New Roman;serif" w:hAnsi="Times New Roman;serif"/>
            <w:b/>
            <w:color w:val="0000FF"/>
            <w:sz w:val="20"/>
            <w:u w:val="single"/>
          </w:rPr>
          <w:t>Table of Contents</w:t>
        </w:r>
      </w:hyperlink>
    </w:p>
    <w:tbl>
      <w:tblPr>
        <w:tblW w:w="3690" w:type="dxa"/>
        <w:jc w:val="left"/>
        <w:tblInd w:w="0" w:type="dxa"/>
        <w:tblLayout w:type="fixed"/>
        <w:tblCellMar>
          <w:top w:w="28" w:type="dxa"/>
          <w:left w:w="28" w:type="dxa"/>
          <w:bottom w:w="28" w:type="dxa"/>
          <w:right w:w="28" w:type="dxa"/>
        </w:tblCellMar>
      </w:tblPr>
      <w:tblGrid>
        <w:gridCol w:w="575"/>
        <w:gridCol w:w="506"/>
        <w:gridCol w:w="508"/>
        <w:gridCol w:w="255"/>
        <w:gridCol w:w="255"/>
        <w:gridCol w:w="256"/>
        <w:gridCol w:w="391"/>
        <w:gridCol w:w="391"/>
        <w:gridCol w:w="553"/>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Adam Stavisky</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Adam Stavisky</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4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4.2</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240" w:after="10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DESCRIPTION OF THE REGISTRANT’S SECURITIES REGISTERED PURSUANT TO SECTION 12 OF THE SECURITIES EXCHANGE ACT OF 1934</w:t>
      </w:r>
    </w:p>
    <w:p>
      <w:pPr>
        <w:pStyle w:val="TextBody"/>
        <w:bidi w:val="0"/>
        <w:spacing w:lineRule="auto" w:line="288" w:before="240" w:after="283"/>
        <w:ind w:left="0" w:right="0" w:firstLine="7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description of the capital stock of Omada Health, Inc. (“we”, “our” or “us”) and provisions of our restated certificate of incorporation and amended and restated bylaws are summaries and may not contain all the information that is important to an investor in our securities. You should refer to our amended and restated certificate of incorporation and our amended and restated bylaws, which have been filed with the Securities and Exchange Commission as exhibits to our Annual Report on Form 10-K to which this description is an exhibit, as well as the General Corporation Law of the State of Delaware (the “DGCL”).</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w:t>
      </w:r>
    </w:p>
    <w:p>
      <w:pPr>
        <w:pStyle w:val="TextBody"/>
        <w:bidi w:val="0"/>
        <w:spacing w:lineRule="auto" w:line="288" w:before="24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one class of securities registered under Section 12 of the Securities Exchange Act of 1934, as amended (the “Exchange Act”): our common stock, par value $0.001 per share (the “common stock”). Our authorized capital stock consists of 750,000,000 shares of common stock, par value $0.001 per share, and 10,000,000 shares of preferred stock, par value $0.001 per share.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Common Stock</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Voting Rights</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holder of common stock is entitled to one vote for each share on all matters submitted to a vote of the stockholders, including the election of directors. The election of directors by our stockholders shall be determined by a plurality of the votes cast, and our stockholders do not have cumulative voting rights in the election of directors. Other matters shall be generally decided by the affirmative vote of the holders of a majority of the votes cast (excluding abstentions and broker non-votes) on such matter. In addition, the affirmative vote of holders of at least 66 2/3% of the outstanding voting power of all of our then-outstanding voting stock is required to take certain actions, including amending certain provisions of our restated certificate of incorporation, including the provisions relating to amending our amended and restated bylaws, the classified board of directors, and director and officer liability.</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Dividends</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preferences that may be applicable to any then outstanding preferred stock, holders of our common stock are entitled to receive ratably any dividends that our board of directors may declare out of funds legally available.</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Liquidation</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Rights and Preferences</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Preferred Stock</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our restated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Anti-Takeover Provisions of Delaware Law and Our Restated Certificate of Incorporation and Amended and Restated Bylaws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Section 203 of the Delaware General Corporation Law</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before such date, the board of directors of the corporation approved either the business combination or the transaction that resulted in the stockholder becoming an interested stockholder;</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on or after such date, the business combination is approved by the board of directors and authorized at an annual or special meeting of the stockholders, and not by written consent, by the affirmative vote of at least 66 </w:t>
            </w:r>
            <w:r>
              <w:rPr>
                <w:rFonts w:ascii="Times New Roman;serif" w:hAnsi="Times New Roman;serif"/>
                <w:b w:val="false"/>
                <w:color w:val="000000"/>
                <w:sz w:val="10"/>
              </w:rPr>
              <w:t>2</w:t>
            </w:r>
            <w:r>
              <w:rPr>
                <w:rFonts w:ascii="Times New Roman;serif" w:hAnsi="Times New Roman;serif"/>
                <w:b w:val="false"/>
                <w:color w:val="000000"/>
                <w:sz w:val="20"/>
              </w:rPr>
              <w:t>/</w:t>
            </w:r>
            <w:r>
              <w:rPr>
                <w:rFonts w:ascii="Times New Roman;serif" w:hAnsi="Times New Roman;serif"/>
                <w:b w:val="false"/>
                <w:color w:val="000000"/>
                <w:sz w:val="10"/>
              </w:rPr>
              <w:t>3</w:t>
            </w:r>
            <w:r>
              <w:rPr>
                <w:rFonts w:ascii="Times New Roman;serif" w:hAnsi="Times New Roman;serif"/>
                <w:b w:val="false"/>
                <w:color w:val="000000"/>
                <w:sz w:val="20"/>
              </w:rPr>
              <w:t>% of the outstanding voting stock that is not owned by the interested stockholder.</w:t>
            </w:r>
          </w:p>
        </w:tc>
      </w:tr>
    </w:tbl>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general, Section 203 defines a “business combination” to include the following:</w:t>
      </w:r>
    </w:p>
    <w:p>
      <w:pPr>
        <w:pStyle w:val="TextBody"/>
        <w:bidi w:val="0"/>
        <w:spacing w:lineRule="auto" w:line="288" w:before="0" w:after="0"/>
        <w:jc w:val="left"/>
        <w:rPr>
          <w:color w:val="000000"/>
          <w:shd w:fill="FFFFFF" w:val="clear"/>
        </w:rPr>
      </w:pPr>
      <w:r>
        <w:rPr>
          <w:color w:val="000000"/>
          <w:shd w:fill="FFFFFF" w:val="clear"/>
        </w:rPr>
        <w:t> </w:t>
      </w:r>
    </w:p>
    <w:tbl>
      <w:tblPr>
        <w:tblW w:w="812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83"/>
        <w:gridCol w:w="2083"/>
        <w:gridCol w:w="29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any merger or consolidation involving the corporation and the interested stockholder;</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any sale, transfer, pledge, or other disposition of 10% or more of the assets of the corporation involving the interested stockholder;</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subject to certain exceptions, any transaction that results in the issuance or transfer by the corporation of any stock of the corporation to the interested stockholder;</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any transaction involving the corporation that has the effect of increasing the proportionate share of the stock or any class or series of the corporation beneficially owned by the interested stockholder; and</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the receipt by the interested stockholder of the benefit of any loans, advances, guarantees, pledges, or other financial benefits by or through the corporation.</w:t>
            </w:r>
          </w:p>
        </w:tc>
      </w:tr>
    </w:tbl>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Restated Certificate of Incorporation and Amended and Restated Bylaws</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Among other things, our restated certificate of incorporation and amended and restated bylaws:</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permit our board of directors to issue up to 10,000,000 shares of preferred stock, with any rights, preferences, and privileges as they may designate, including the right to approve an acquisition or other change in control;</w:t>
            </w:r>
          </w:p>
        </w:tc>
      </w:tr>
    </w:tbl>
    <w:p>
      <w:pPr>
        <w:pStyle w:val="TextBody"/>
        <w:bidi w:val="0"/>
        <w:spacing w:lineRule="auto" w:line="288" w:before="0" w:after="0"/>
        <w:jc w:val="left"/>
        <w:rPr>
          <w:color w:val="000000"/>
          <w:shd w:fill="FFFFFF" w:val="clear"/>
        </w:rPr>
      </w:pPr>
      <w:r>
        <w:rPr>
          <w:color w:val="000000"/>
          <w:shd w:fill="FFFFFF" w:val="clear"/>
        </w:rPr>
        <w:t> </w:t>
      </w:r>
    </w:p>
    <w:tbl>
      <w:tblPr>
        <w:tblW w:w="99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18"/>
        <w:gridCol w:w="2618"/>
        <w:gridCol w:w="37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provide that the authorized number of directors may be changed only by resolution of our board of directors;</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provide that our board of directors will be classified into three classes of directors, divided as nearly as equal in number as possible;</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provide that, subject to the rights of any series of preferred stock to elect directors, directors may only be removed for cause, which removal may be effected, subject to any limitation imposed by law, by the holders of at least 66 </w:t>
            </w:r>
            <w:r>
              <w:rPr>
                <w:rFonts w:ascii="Times New Roman;serif" w:hAnsi="Times New Roman;serif"/>
                <w:b w:val="false"/>
                <w:color w:val="000000"/>
                <w:sz w:val="10"/>
              </w:rPr>
              <w:t>2</w:t>
            </w:r>
            <w:r>
              <w:rPr>
                <w:rFonts w:ascii="Times New Roman;serif" w:hAnsi="Times New Roman;serif"/>
                <w:b w:val="false"/>
                <w:color w:val="000000"/>
                <w:sz w:val="20"/>
              </w:rPr>
              <w:t>/</w:t>
            </w:r>
            <w:r>
              <w:rPr>
                <w:rFonts w:ascii="Times New Roman;serif" w:hAnsi="Times New Roman;serif"/>
                <w:b w:val="false"/>
                <w:color w:val="000000"/>
                <w:sz w:val="10"/>
              </w:rPr>
              <w:t>3</w:t>
            </w:r>
            <w:r>
              <w:rPr>
                <w:rFonts w:ascii="Times New Roman;serif" w:hAnsi="Times New Roman;serif"/>
                <w:b w:val="false"/>
                <w:color w:val="000000"/>
                <w:sz w:val="20"/>
              </w:rPr>
              <w:t>% of the voting power of all of our then-outstanding shares of the capital stock entitled to vote generally at an election of directors;</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require that any action to be taken by our stockholders must be effected at a duly called annual or special meeting of stockholders and not be taken by written consent or electronic transmission;</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provide that special meetings of our stockholders may be called only by our board of directors pursuant to a resolution adopted by a majority of the total number of directors constituting the board, and not by our stockholders; and</w:t>
            </w:r>
          </w:p>
        </w:tc>
      </w:tr>
    </w:tbl>
    <w:p>
      <w:pPr>
        <w:pStyle w:val="TextBody"/>
        <w:bidi w:val="0"/>
        <w:spacing w:lineRule="auto" w:line="288"/>
        <w:jc w:val="left"/>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do 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lineRule="auto" w:line="288" w:before="240" w:after="283"/>
        <w:ind w:left="0" w:right="0" w:firstLine="490"/>
        <w:jc w:val="left"/>
        <w:rPr/>
      </w:pPr>
      <w:r>
        <w:rPr>
          <w:rFonts w:ascii="Times New Roman;serif" w:hAnsi="Times New Roman;serif"/>
          <w:b w:val="false"/>
          <w:color w:val="000000"/>
          <w:sz w:val="20"/>
          <w:shd w:fill="FFFFFF" w:val="clear"/>
        </w:rPr>
        <w:t>The amendment of any of these provisions, except for the provision making it possible for our board of directors to issue undesignated preferred stock, would require approval by the holders of at least 66</w:t>
      </w:r>
      <w:r>
        <w:rPr>
          <w:color w:val="000000"/>
          <w:shd w:fill="FFFFFF" w:val="clear"/>
        </w:rPr>
        <w:t> </w:t>
      </w:r>
      <w:r>
        <w:rPr>
          <w:rFonts w:ascii="Times New Roman;serif" w:hAnsi="Times New Roman;serif"/>
          <w:b w:val="false"/>
          <w:color w:val="000000"/>
          <w:sz w:val="10"/>
          <w:shd w:fill="FFFFFF" w:val="clear"/>
        </w:rPr>
        <w:t>2</w:t>
      </w:r>
      <w:r>
        <w:rPr>
          <w:rFonts w:ascii="Times New Roman;serif" w:hAnsi="Times New Roman;serif"/>
          <w:b w:val="false"/>
          <w:color w:val="000000"/>
          <w:sz w:val="20"/>
          <w:shd w:fill="FFFFFF" w:val="clear"/>
        </w:rPr>
        <w:t>/</w:t>
      </w:r>
      <w:r>
        <w:rPr>
          <w:rFonts w:ascii="Times New Roman;serif" w:hAnsi="Times New Roman;serif"/>
          <w:b w:val="false"/>
          <w:color w:val="000000"/>
          <w:sz w:val="10"/>
          <w:shd w:fill="FFFFFF" w:val="clear"/>
        </w:rPr>
        <w:t>3</w:t>
      </w:r>
      <w:r>
        <w:rPr>
          <w:rFonts w:ascii="Times New Roman;serif" w:hAnsi="Times New Roman;serif"/>
          <w:b w:val="false"/>
          <w:color w:val="000000"/>
          <w:sz w:val="20"/>
          <w:shd w:fill="FFFFFF" w:val="clear"/>
        </w:rPr>
        <w:t>% of the voting power of all of our then-outstanding common stock.</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combination of these provisions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effect a change in control of our company.</w:t>
      </w:r>
    </w:p>
    <w:p>
      <w:pPr>
        <w:pStyle w:val="TextBody"/>
        <w:bidi w:val="0"/>
        <w:spacing w:before="0" w:after="0"/>
        <w:jc w:val="left"/>
        <w:rPr/>
      </w:pPr>
      <w:r>
        <w:rPr/>
      </w:r>
    </w:p>
    <w:p>
      <w:pPr>
        <w:pStyle w:val="TextBody"/>
        <w:bidi w:val="0"/>
        <w:spacing w:lineRule="auto" w:line="288" w:before="0" w:after="0"/>
        <w:ind w:left="0" w:right="0" w:firstLine="489"/>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Choice of Forum</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DGCL, our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must be filed in the Court of Chancery of the State of Delaware and cannot be filed in any other jurisdiction; provided that, the exclusive forum provision does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also provides that the federal district courts of the United States of America is the exclusive forum for the resolution of any complaint asserting a cause of action under the Securities Act of 1933, as amended (the “Securities Act”).</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restated certificate of incorporation and having service of process made upon such stockholder in any such action by service upon such stockholder’s counsel in the Foreign Action as agent for such stockholder. Although our restated certificate of incorporation contains the choice of forum provision described above, it is possible that a court could find that such a provision is inapplicable for a particular claim or action or that such provision is unenforceable.</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choice of forum provision may limit a stockholder’s ability to bring a 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Limitation on Liability and Indemnification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our amended and restated bylaws limit our directors’ and officers’ liability and provide that we may indemnify our directors and officers to the fullest extent permitted under the DGCL. The DGCL provides that directors and officers of a corporation will not be personally liable for monetary damages for breach of their fiduciary duties as directors or officers, except for liability for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transaction from which the director or officer derives an improper personal benefit;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 or omission not in good faith or that involves intentional misconduct or a knowing violation of law;</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unlawful payment of dividends or redemption of shares;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breach of a director’s or officer’s duty of loyalty to the corporation or its stockholders;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action brought against an officer by or in the right of the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limitations of liability do not apply to liabilities arising under federal securities laws and do not affect the availability of equitable remedies such as injunctive relief or recession.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DGCL and 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we have entered, and intend to continue to enter, into separate indemnification agreements with our directors and officers. These indemnification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maintain a directors’ and officers’ insurance policy pursuant to which our directors and officers are insured against liability for actions taken in their capacities as directors and officers. We believe that these provisions in our restated certificate of incorporation and amended and restated bylaws and these indemnification agreements are necessary to attract and retain qualified persons as directors and officers.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Insofar as indemnification for liabilities arising under the Securities Act may be permitted to directors, officers, or control persons, in the opinion of the Securities and Exchange Commission, such indemnification is against public policy, as expressed in the Securities Act and is therefore unenforceable.</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Listing</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common stock is listed on the Nasdaq Global Select Market under the trading symbol “OMDA.”</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Transfer Agent and Registrar</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transfer agent and registrar for our common stock is Equiniti Trust Company, LLC. The transfer agent and registrar’s address is 48 Wall Street, 22nd Floor, New York, New York 10005.</w:t>
      </w:r>
    </w:p>
    <w:p>
      <w:pPr>
        <w:pStyle w:val="TextBody"/>
        <w:bidi w:val="0"/>
        <w:spacing w:before="0" w:after="0"/>
        <w:jc w:val="center"/>
        <w:rPr/>
      </w:pPr>
      <w:bookmarkStart w:id="2" w:name="cignaevn-amend3tomsawith.htm"/>
      <w:bookmarkStart w:id="3" w:name="kscignaevnamend3tomsawith"/>
      <w:bookmarkEnd w:id="2"/>
      <w:bookmarkEnd w:id="3"/>
      <w:r>
        <w:rPr/>
        <w:drawing>
          <wp:inline distT="0" distB="0" distL="0" distR="0">
            <wp:extent cx="10048875" cy="13001625"/>
            <wp:effectExtent l="0" t="0" r="0" b="0"/>
            <wp:docPr id="1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THE CIGNA GROUP PROPRIETARY AND CONFIDENTIAL Page 1 of 4 AMENDMENT NO. 3 TO MASTER SERVICES AGREEMENT This Amendment No. 3 to Master Services Agreement (“Third Amendment”) is effective as of January 1, 2025 (“Effective Date”) by and between Cigna Corporate Services, LLC (“Company”) with offices at Two Liberty Place, 1601 Chestnut Street, Philadelphia, PA 19192 and Omada Health, Inc. (“Supplier”) with a mailing address at 2202 S Cockrell Hill Rd., PO Box 210129, Dallas, TX 75211 and supersedes and replaces in its entirety the Master Services Agreement originally entered into by Evernorth, Inc. (f/k/a Express Scripts Holding Company, Inc.), an affiliate of Company, and Omada Health, Inc. (as amended, the “Agreement”). WHEREAS, Company and Supplier entered into the Agreement on January 1, 2020; WHEREAS the Agreement included an expiration date on December 31, 2024, but, in accordance with the terms of the Agreement, has remained in full force and effect continuously since January 1, 2020; WHEREAS, the parties wish to amend the Agreement and extend the term thereof; WHEREAS, the parties desire to reaffirm and continue their commercial relationship under this Agreement to ensure continuity of services, while also allowing time to negotiate and implement revised agreement structures. NOW THEREFORE, in consideration of the promises set forth in this Agreement and intending to be legally bound, the parties agree as follows: 1. Ratification. The Agreement is hereby ratified upon the last signature date of the parties below effective as of the Effective Date. 2. Term. Section 12.1 (Term) of the Agreement is hereby deleted and replaced in its entirety with the following: The term of this Agreement commences as of the Effective Date and, unless earlier terminated, shall continue in effect until the later of December 31, 2026 or the termination or expiration of all Statements of Work. Each Statement of Work will include the length of the initial term of such Statement of Work and the length of the renewal terms, if any. In the event that the term of a Statement of Work extends beyond the termination or expiration of this Agreement, this Agreement shall continue in full force and effect with respect to such Statement of Work until the termination or expiration thereof. 3. Section 13.5. Section 13.5 of the Agreement is hereby deleted and replaced in its entirety with the following: “13.5 Notice. All notices, consents, approvals, and other communications required or permitted under this Agreement must be in writing and (with the exception of routine business communications directed to the appropriate representative of the other party) must be addressed to the other party as set forth below. Such communications, if delivered to Company, shall be deemed received on the date (a) personally delivered, (b) confirmed on the return receipt for certified mail sent return receipt requested; or (c) confirmed on the delivery confirmation for notices sent by a reliable overnight courier. Such communications, if delivered to Supplier, shall be delivered via electronic mail at the address below, with a copy required to be mailed to the address below, and shall be deemed received on the date transmitted via electronic mail. If to Company: If to Supplier: Cigna Omada Health, Inc. 900 Cottage Grove Road legal@omadahealth.com Hartford, CT 06152 Attn: Supply Chain Management, C8SCM 2202 S. Cockrell Hill Rd. PO Box 210129 Dallas, TX 75211 Docusign Envelope ID: 8E744505-40DC-48BB-A00C-F9CEE09C46AE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CIGNA GROUP PROPRIETARY AND CONFIDENTIAL Page 2 of 4 4. Continued Applicability of Terms and Conditions of Agreement. Except as expressly modified herein, all terms and conditions of the Agreement remain unchanged and in full force and effect. A copy of the Agreement is attached hereto as Exhibit B. For clarity, all Statements of Work entered into under the Agreement and still in effect as of the Effective Date are governed by the Agreement as of the Effective Date. These Statements of Work are identified in Exhibit A attached hereto. In witness whereof, the parties have caused this Agreement to be executed by their duly authorized representatives. CIGNA CORPORATE SERVICES, LLC OMADA HEALTH, INC. Signature: Signature: Print Name: Print Name: Title: Title: Date: Date: Docusign Envelope ID: 8E744505-40DC-48BB-A00C-F9CEE09C46AE 10/29/2025 | 14:39 EDT CEO Sean Duffy 10/29/2025 | 15:08 EDT Third Party Management Director Sarah Chase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10.5(f)</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Certain information in this document has been excluded pursuant to Regulation S-K, Item 601(b)(10). Such excluded information is not material and would likely cause competitive harm to the registrant if publicly disclosed.</w:t>
      </w:r>
    </w:p>
    <w:p>
      <w:pPr>
        <w:pStyle w:val="TextBody"/>
        <w:bidi w:val="0"/>
        <w:spacing w:before="0" w:after="0"/>
        <w:jc w:val="left"/>
        <w:rPr/>
      </w:pPr>
      <w:r>
        <w:rPr/>
      </w:r>
    </w:p>
    <w:p>
      <w:pPr>
        <w:pStyle w:val="TextBody"/>
        <w:bidi w:val="0"/>
        <w:spacing w:before="0" w:after="0"/>
        <w:jc w:val="left"/>
        <w:rPr/>
      </w:pPr>
      <w:r>
        <w:rPr/>
      </w:r>
    </w:p>
    <w:p>
      <w:pPr>
        <w:pStyle w:val="TextBody"/>
        <w:bidi w:val="0"/>
        <w:spacing w:before="202" w:after="283"/>
        <w:jc w:val="center"/>
        <w:rPr/>
      </w:pPr>
      <w:r>
        <w:rPr/>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Amendment Five to the Ancillary Services Agreement</w:t>
      </w:r>
    </w:p>
    <w:p>
      <w:pPr>
        <w:pStyle w:val="TextBody"/>
        <w:bidi w:val="0"/>
        <w:spacing w:before="0" w:after="0"/>
        <w:jc w:val="left"/>
        <w:rPr/>
      </w:pPr>
      <w:r>
        <w:rPr/>
      </w:r>
    </w:p>
    <w:p>
      <w:pPr>
        <w:pStyle w:val="TextBody"/>
        <w:bidi w:val="0"/>
        <w:spacing w:before="177" w:after="283"/>
        <w:jc w:val="left"/>
        <w:rPr/>
      </w:pPr>
      <w:r>
        <w:rPr/>
      </w:r>
    </w:p>
    <w:p>
      <w:pPr>
        <w:pStyle w:val="TextBody"/>
        <w:bidi w:val="0"/>
        <w:spacing w:lineRule="auto" w:line="348" w:before="0" w:after="0"/>
        <w:jc w:val="left"/>
        <w:rPr/>
      </w:pPr>
      <w:r>
        <w:rPr>
          <w:rFonts w:ascii="Times New Roman;serif" w:hAnsi="Times New Roman;serif"/>
          <w:b/>
          <w:color w:val="231F20"/>
          <w:sz w:val="22"/>
        </w:rPr>
        <w:t xml:space="preserve">WHEREAS, </w:t>
      </w:r>
      <w:r>
        <w:rPr>
          <w:rFonts w:ascii="Times New Roman;serif" w:hAnsi="Times New Roman;serif"/>
          <w:b w:val="false"/>
          <w:color w:val="231F20"/>
          <w:sz w:val="22"/>
        </w:rPr>
        <w:t>Cigna Health and Life Insurance Company and its affiliates (“Cigna”) and Omada Health, Inc. (“Group”) have executed an Ancillary Services Agreement dated May 31, 2018 (the “Agreement”); and</w:t>
      </w:r>
    </w:p>
    <w:p>
      <w:pPr>
        <w:pStyle w:val="TextBody"/>
        <w:bidi w:val="0"/>
        <w:spacing w:lineRule="auto" w:line="288" w:before="163" w:after="283"/>
        <w:jc w:val="left"/>
        <w:rPr/>
      </w:pPr>
      <w:r>
        <w:rPr>
          <w:rFonts w:ascii="Times New Roman;serif" w:hAnsi="Times New Roman;serif"/>
          <w:b/>
          <w:color w:val="231F20"/>
          <w:sz w:val="22"/>
        </w:rPr>
        <w:t xml:space="preserve">WHEREAS, </w:t>
      </w:r>
      <w:r>
        <w:rPr>
          <w:rFonts w:ascii="Times New Roman;serif" w:hAnsi="Times New Roman;serif"/>
          <w:b w:val="false"/>
          <w:color w:val="231F20"/>
          <w:sz w:val="22"/>
        </w:rPr>
        <w:t>Cigna and Provider mutually desire to amend the Agreement.</w:t>
      </w:r>
    </w:p>
    <w:p>
      <w:pPr>
        <w:pStyle w:val="TextBody"/>
        <w:bidi w:val="0"/>
        <w:spacing w:before="41" w:after="283"/>
        <w:jc w:val="left"/>
        <w:rPr/>
      </w:pPr>
      <w:r>
        <w:rPr/>
      </w:r>
    </w:p>
    <w:p>
      <w:pPr>
        <w:pStyle w:val="TextBody"/>
        <w:bidi w:val="0"/>
        <w:spacing w:lineRule="auto" w:line="319" w:before="0" w:after="0"/>
        <w:jc w:val="left"/>
        <w:rPr/>
      </w:pPr>
      <w:r>
        <w:rPr>
          <w:rFonts w:ascii="Times New Roman;serif" w:hAnsi="Times New Roman;serif"/>
          <w:b/>
          <w:color w:val="231F20"/>
          <w:sz w:val="22"/>
        </w:rPr>
        <w:t>NOW, THEREFORE</w:t>
      </w:r>
      <w:r>
        <w:rPr>
          <w:rFonts w:ascii="Times New Roman;serif" w:hAnsi="Times New Roman;serif"/>
          <w:b w:val="false"/>
          <w:color w:val="231F20"/>
          <w:sz w:val="22"/>
        </w:rPr>
        <w:t>, pursuant to Section 6. General Provisions, Clause 6.13 of the Agreement and in consideration of the mutual promises contained herein, the parties hereby agree to amend the Agreement as follows:</w:t>
      </w:r>
    </w:p>
    <w:p>
      <w:pPr>
        <w:pStyle w:val="TextBody"/>
        <w:bidi w:val="0"/>
        <w:spacing w:before="41" w:after="283"/>
        <w:jc w:val="left"/>
        <w:rPr/>
      </w:pPr>
      <w:r>
        <w:rPr/>
      </w:r>
    </w:p>
    <w:p>
      <w:pPr>
        <w:pStyle w:val="TextBody"/>
        <w:bidi w:val="0"/>
        <w:spacing w:lineRule="auto" w:line="348" w:before="0" w:after="0"/>
        <w:ind w:left="0" w:right="0" w:hanging="360"/>
        <w:jc w:val="left"/>
        <w:rPr>
          <w:rFonts w:ascii="Times New Roman;serif" w:hAnsi="Times New Roman;serif"/>
          <w:b w:val="false"/>
          <w:color w:val="231F20"/>
          <w:sz w:val="22"/>
        </w:rPr>
      </w:pPr>
      <w:r>
        <w:rPr>
          <w:rFonts w:ascii="Times New Roman;serif" w:hAnsi="Times New Roman;serif"/>
          <w:b w:val="false"/>
          <w:color w:val="231F20"/>
          <w:sz w:val="22"/>
        </w:rPr>
        <w:t>1.The effective date of this Amendment is January 1, 2026 (the “Amendment Effective Date”).</w:t>
      </w:r>
    </w:p>
    <w:p>
      <w:pPr>
        <w:pStyle w:val="TextBody"/>
        <w:bidi w:val="0"/>
        <w:spacing w:before="65" w:after="283"/>
        <w:jc w:val="left"/>
        <w:rPr/>
      </w:pPr>
      <w:r>
        <w:rPr/>
      </w:r>
    </w:p>
    <w:p>
      <w:pPr>
        <w:pStyle w:val="TextBody"/>
        <w:bidi w:val="0"/>
        <w:spacing w:lineRule="auto" w:line="348" w:before="0" w:after="0"/>
        <w:ind w:left="0" w:right="0" w:hanging="360"/>
        <w:jc w:val="left"/>
        <w:rPr>
          <w:rFonts w:ascii="Times New Roman;serif" w:hAnsi="Times New Roman;serif"/>
          <w:b w:val="false"/>
          <w:color w:val="231F20"/>
          <w:sz w:val="22"/>
        </w:rPr>
      </w:pPr>
      <w:r>
        <w:rPr>
          <w:rFonts w:ascii="Times New Roman;serif" w:hAnsi="Times New Roman;serif"/>
          <w:b w:val="false"/>
          <w:color w:val="231F20"/>
          <w:sz w:val="22"/>
        </w:rPr>
        <w:t>2.Section 1. Definitions, Clause 1.9 Cigna Affiliate, includes Cigna Global Health Benefits Eligible Participants.</w:t>
      </w:r>
    </w:p>
    <w:p>
      <w:pPr>
        <w:pStyle w:val="TextBody"/>
        <w:bidi w:val="0"/>
        <w:spacing w:before="63" w:after="283"/>
        <w:jc w:val="left"/>
        <w:rPr/>
      </w:pPr>
      <w:r>
        <w:rPr/>
      </w:r>
    </w:p>
    <w:p>
      <w:pPr>
        <w:pStyle w:val="TextBody"/>
        <w:bidi w:val="0"/>
        <w:spacing w:lineRule="auto" w:line="348" w:before="0" w:after="0"/>
        <w:ind w:left="0" w:right="0" w:hanging="360"/>
        <w:jc w:val="left"/>
        <w:rPr>
          <w:rFonts w:ascii="Times New Roman;serif" w:hAnsi="Times New Roman;serif"/>
          <w:b w:val="false"/>
          <w:color w:val="231F20"/>
          <w:sz w:val="22"/>
        </w:rPr>
      </w:pPr>
      <w:r>
        <w:rPr>
          <w:rFonts w:ascii="Times New Roman;serif" w:hAnsi="Times New Roman;serif"/>
          <w:b w:val="false"/>
          <w:color w:val="231F20"/>
          <w:sz w:val="22"/>
        </w:rPr>
        <w:t>3.Section 1. Definitions, Clause 1.22 Participant, is hereby deleted in its entirety and restated as follows:</w:t>
      </w:r>
    </w:p>
    <w:p>
      <w:pPr>
        <w:pStyle w:val="TextBody"/>
        <w:bidi w:val="0"/>
        <w:spacing w:lineRule="auto" w:line="288" w:before="162" w:after="283"/>
        <w:jc w:val="left"/>
        <w:rPr/>
      </w:pPr>
      <w:r>
        <w:rPr>
          <w:rFonts w:ascii="Times New Roman;serif" w:hAnsi="Times New Roman;serif"/>
          <w:b w:val="false"/>
          <w:color w:val="231F20"/>
          <w:sz w:val="22"/>
        </w:rPr>
        <w:t>1.22    </w:t>
      </w:r>
      <w:r>
        <w:rPr>
          <w:rFonts w:ascii="Times New Roman;serif" w:hAnsi="Times New Roman;serif"/>
          <w:b w:val="false"/>
          <w:color w:val="231F20"/>
          <w:sz w:val="22"/>
          <w:u w:val="single"/>
        </w:rPr>
        <w:t>Participant</w:t>
      </w:r>
    </w:p>
    <w:p>
      <w:pPr>
        <w:pStyle w:val="TextBody"/>
        <w:bidi w:val="0"/>
        <w:spacing w:lineRule="auto" w:line="300" w:before="21" w:after="283"/>
        <w:jc w:val="left"/>
        <w:rPr>
          <w:rFonts w:ascii="Times New Roman;serif" w:hAnsi="Times New Roman;serif"/>
          <w:b w:val="false"/>
          <w:color w:val="231F20"/>
          <w:sz w:val="22"/>
        </w:rPr>
      </w:pPr>
      <w:r>
        <w:rPr>
          <w:rFonts w:ascii="Times New Roman;serif" w:hAnsi="Times New Roman;serif"/>
          <w:b w:val="false"/>
          <w:color w:val="231F20"/>
          <w:sz w:val="22"/>
        </w:rPr>
        <w:t>Means any individual, or eligible dependent of such individual, whether referred to as “Insured”, “Subscriber”, “Member”, “Participant”, “Enrollee”, “Dependent”, or similar designation, who is: (i) at least 18 years of age; (ii) physically present or resides in the one of the 50 States within the United States and the Federal District of Columbia (Washington, D.C.); (iii) covered under group health plans insured and/or administered by Cigna or its affiliates or subsidiaries; and (iv) identified as coverage eligible to enroll in the Program using the process set forth in this Agreement.</w:t>
      </w:r>
    </w:p>
    <w:p>
      <w:pPr>
        <w:pStyle w:val="TextBody"/>
        <w:bidi w:val="0"/>
        <w:spacing w:before="63" w:after="283"/>
        <w:jc w:val="left"/>
        <w:rPr/>
      </w:pPr>
      <w:r>
        <w:rPr/>
      </w:r>
    </w:p>
    <w:p>
      <w:pPr>
        <w:pStyle w:val="TextBody"/>
        <w:bidi w:val="0"/>
        <w:spacing w:lineRule="auto" w:line="288" w:before="0" w:after="0"/>
        <w:ind w:left="0" w:right="0" w:hanging="359"/>
        <w:jc w:val="left"/>
        <w:rPr>
          <w:rFonts w:ascii="Times New Roman;serif" w:hAnsi="Times New Roman;serif"/>
          <w:b w:val="false"/>
          <w:color w:val="231F20"/>
          <w:sz w:val="22"/>
        </w:rPr>
      </w:pPr>
      <w:r>
        <w:rPr>
          <w:rFonts w:ascii="Times New Roman;serif" w:hAnsi="Times New Roman;serif"/>
          <w:b w:val="false"/>
          <w:color w:val="231F20"/>
          <w:sz w:val="22"/>
        </w:rPr>
        <w:t>4.Clause 3.3.1 is now added to Section 3. Duties of Cigna, as follows:</w:t>
      </w:r>
    </w:p>
    <w:p>
      <w:pPr>
        <w:pStyle w:val="TextBody"/>
        <w:bidi w:val="0"/>
        <w:spacing w:before="41" w:after="283"/>
        <w:jc w:val="left"/>
        <w:rPr/>
      </w:pPr>
      <w:r>
        <w:rPr/>
      </w:r>
    </w:p>
    <w:p>
      <w:pPr>
        <w:pStyle w:val="TextBody"/>
        <w:bidi w:val="0"/>
        <w:spacing w:lineRule="auto" w:line="300" w:before="0" w:after="0"/>
        <w:jc w:val="left"/>
        <w:rPr/>
      </w:pPr>
      <w:r>
        <w:rPr>
          <w:rFonts w:ascii="Times New Roman;serif" w:hAnsi="Times New Roman;serif"/>
          <w:b w:val="false"/>
          <w:color w:val="231F20"/>
          <w:sz w:val="22"/>
        </w:rPr>
        <w:t xml:space="preserve">3.3.1 </w:t>
      </w:r>
      <w:r>
        <w:rPr>
          <w:rFonts w:ascii="Times New Roman;serif" w:hAnsi="Times New Roman;serif"/>
          <w:b w:val="false"/>
          <w:color w:val="231F20"/>
          <w:sz w:val="22"/>
          <w:u w:val="single"/>
        </w:rPr>
        <w:t>Participant Outreach</w:t>
      </w:r>
      <w:r>
        <w:rPr>
          <w:rFonts w:ascii="Times New Roman;serif" w:hAnsi="Times New Roman;serif"/>
          <w:b w:val="false"/>
          <w:color w:val="231F20"/>
          <w:sz w:val="22"/>
        </w:rPr>
        <w:t>. Unless otherwise agreed upon, Cigna Global Health Benefits plans will administer outreach to their eligible Participants. To the extent Cigna Global Health Benefits plans intend to administer such outreach via physical mail, they acknowledge and agree that such mail-based outreach shall be sent exclusively to their Participants with mailing addresses in one of the 50 States within the United States or in the Federal District of Columbia, and no outreach material shall be mailed to an address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803275"/>
                <wp:effectExtent l="0" t="0" r="0" b="0"/>
                <wp:wrapNone/>
                <wp:docPr id="139" name="Frame136"/>
                <a:graphic xmlns:a="http://schemas.openxmlformats.org/drawingml/2006/main">
                  <a:graphicData uri="http://schemas.microsoft.com/office/word/2010/wordprocessingShape">
                    <wps:wsp>
                      <wps:cNvSpPr txBox="1"/>
                      <wps:spPr>
                        <a:xfrm>
                          <a:off x="0" y="0"/>
                          <a:ext cx="6480175" cy="803275"/>
                        </a:xfrm>
                        <a:prstGeom prst="rect"/>
                        <a:solidFill>
                          <a:srgbClr val="FFFFFF"/>
                        </a:solidFill>
                      </wps:spPr>
                      <wps:txbx>
                        <w:txbxContent>
                          <w:tbl>
                            <w:tblPr>
                              <w:tblW w:w="1229" w:type="dxa"/>
                              <w:jc w:val="left"/>
                              <w:tblInd w:w="0" w:type="dxa"/>
                              <w:tblLayout w:type="fixed"/>
                              <w:tblCellMar>
                                <w:top w:w="28" w:type="dxa"/>
                                <w:left w:w="28" w:type="dxa"/>
                                <w:bottom w:w="28" w:type="dxa"/>
                                <w:right w:w="28" w:type="dxa"/>
                              </w:tblCellMar>
                            </w:tblPr>
                            <w:tblGrid>
                              <w:gridCol w:w="393"/>
                              <w:gridCol w:w="345"/>
                              <w:gridCol w:w="491"/>
                            </w:tblGrid>
                            <w:tr>
                              <w:trPr/>
                              <w:tc>
                                <w:tcPr>
                                  <w:tcW w:w="393" w:type="dxa"/>
                                  <w:tcBorders/>
                                  <w:vAlign w:val="center"/>
                                </w:tcPr>
                                <w:p>
                                  <w:pPr>
                                    <w:pStyle w:val="TableContents"/>
                                    <w:bidi w:val="0"/>
                                    <w:spacing w:before="0" w:after="283"/>
                                    <w:jc w:val="left"/>
                                    <w:rPr>
                                      <w:sz w:val="4"/>
                                      <w:szCs w:val="4"/>
                                    </w:rPr>
                                  </w:pPr>
                                  <w:r>
                                    <w:rPr>
                                      <w:sz w:val="4"/>
                                      <w:szCs w:val="4"/>
                                    </w:rPr>
                                  </w:r>
                                  <w:r>
                                    <w:br w:type="page"/>
                                  </w:r>
                                </w:p>
                              </w:tc>
                              <w:tc>
                                <w:tcPr>
                                  <w:tcW w:w="3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18" w:after="283"/>
                                    <w:jc w:val="left"/>
                                    <w:rPr>
                                      <w:rFonts w:ascii="Times New Roman;serif" w:hAnsi="Times New Roman;serif"/>
                                      <w:b w:val="false"/>
                                      <w:color w:val="231F20"/>
                                      <w:sz w:val="22"/>
                                    </w:rPr>
                                  </w:pPr>
                                  <w:r>
                                    <w:rPr>
                                      <w:rFonts w:ascii="Times New Roman;serif" w:hAnsi="Times New Roman;serif"/>
                                      <w:b w:val="false"/>
                                      <w:color w:val="231F20"/>
                                      <w:sz w:val="22"/>
                                    </w:rPr>
                                    <w:t>Page 1 of 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25pt;mso-wrap-distance-left:0pt;mso-wrap-distance-right:0pt;mso-wrap-distance-top:0pt;mso-wrap-distance-bottom:0pt;margin-top:0pt;mso-position-vertical:top;mso-position-vertical-relative:text;margin-left:0pt;mso-position-horizontal:left;mso-position-horizontal-relative:text">
                <v:textbox>
                  <w:txbxContent>
                    <w:tbl>
                      <w:tblPr>
                        <w:tblW w:w="1229" w:type="dxa"/>
                        <w:jc w:val="left"/>
                        <w:tblInd w:w="0" w:type="dxa"/>
                        <w:tblLayout w:type="fixed"/>
                        <w:tblCellMar>
                          <w:top w:w="28" w:type="dxa"/>
                          <w:left w:w="28" w:type="dxa"/>
                          <w:bottom w:w="28" w:type="dxa"/>
                          <w:right w:w="28" w:type="dxa"/>
                        </w:tblCellMar>
                      </w:tblPr>
                      <w:tblGrid>
                        <w:gridCol w:w="393"/>
                        <w:gridCol w:w="345"/>
                        <w:gridCol w:w="491"/>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18" w:after="283"/>
                              <w:jc w:val="left"/>
                              <w:rPr>
                                <w:rFonts w:ascii="Times New Roman;serif" w:hAnsi="Times New Roman;serif"/>
                                <w:b w:val="false"/>
                                <w:color w:val="231F20"/>
                                <w:sz w:val="22"/>
                              </w:rPr>
                            </w:pPr>
                            <w:r>
                              <w:rPr>
                                <w:rFonts w:ascii="Times New Roman;serif" w:hAnsi="Times New Roman;serif"/>
                                <w:b w:val="false"/>
                                <w:color w:val="231F20"/>
                                <w:sz w:val="22"/>
                              </w:rPr>
                              <w:t>Page 1 of 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8" w:after="283"/>
        <w:ind w:left="0" w:right="0" w:hanging="359"/>
        <w:jc w:val="left"/>
        <w:rPr>
          <w:rFonts w:ascii="Times New Roman;serif" w:hAnsi="Times New Roman;serif"/>
          <w:b w:val="false"/>
          <w:color w:val="231F20"/>
          <w:sz w:val="22"/>
        </w:rPr>
      </w:pPr>
      <w:r>
        <w:rPr>
          <w:rFonts w:ascii="Times New Roman;serif" w:hAnsi="Times New Roman;serif"/>
          <w:b w:val="false"/>
          <w:color w:val="231F20"/>
          <w:sz w:val="22"/>
        </w:rPr>
        <w:t>5.The following language is now added to the Agreement in Section 2. Duties of Provider, Clause</w:t>
      </w:r>
    </w:p>
    <w:p>
      <w:pPr>
        <w:pStyle w:val="TextBody"/>
        <w:bidi w:val="0"/>
        <w:spacing w:lineRule="auto" w:line="288" w:before="21" w:after="283"/>
        <w:jc w:val="left"/>
        <w:rPr>
          <w:rFonts w:ascii="Times New Roman;serif" w:hAnsi="Times New Roman;serif"/>
          <w:b w:val="false"/>
          <w:color w:val="231F20"/>
          <w:sz w:val="22"/>
        </w:rPr>
      </w:pPr>
      <w:r>
        <w:rPr>
          <w:rFonts w:ascii="Times New Roman;serif" w:hAnsi="Times New Roman;serif"/>
          <w:b w:val="false"/>
          <w:color w:val="231F20"/>
          <w:sz w:val="22"/>
        </w:rPr>
        <w:t>2.11 Reporting and Data as follows:</w:t>
      </w:r>
    </w:p>
    <w:p>
      <w:pPr>
        <w:pStyle w:val="TextBody"/>
        <w:bidi w:val="0"/>
        <w:spacing w:before="41" w:after="283"/>
        <w:jc w:val="left"/>
        <w:rPr/>
      </w:pPr>
      <w:r>
        <w:rPr/>
      </w:r>
    </w:p>
    <w:p>
      <w:pPr>
        <w:pStyle w:val="TextBody"/>
        <w:bidi w:val="0"/>
        <w:spacing w:lineRule="auto" w:line="288" w:before="0" w:after="0"/>
        <w:jc w:val="left"/>
        <w:rPr/>
      </w:pPr>
      <w:r>
        <w:rPr>
          <w:rFonts w:ascii="Times New Roman;serif" w:hAnsi="Times New Roman;serif"/>
          <w:b w:val="false"/>
          <w:color w:val="231F20"/>
          <w:sz w:val="22"/>
        </w:rPr>
        <w:t xml:space="preserve">2.11 </w:t>
      </w:r>
      <w:r>
        <w:rPr>
          <w:rFonts w:ascii="Times New Roman;serif" w:hAnsi="Times New Roman;serif"/>
          <w:b w:val="false"/>
          <w:color w:val="231F20"/>
          <w:sz w:val="22"/>
          <w:u w:val="single"/>
        </w:rPr>
        <w:t>Reporting and Data</w:t>
      </w:r>
    </w:p>
    <w:p>
      <w:pPr>
        <w:pStyle w:val="TextBody"/>
        <w:bidi w:val="0"/>
        <w:spacing w:lineRule="auto" w:line="300" w:before="19" w:after="283"/>
        <w:jc w:val="left"/>
        <w:rPr>
          <w:rFonts w:ascii="Times New Roman;serif" w:hAnsi="Times New Roman;serif"/>
          <w:b w:val="false"/>
          <w:color w:val="231F20"/>
          <w:sz w:val="22"/>
        </w:rPr>
      </w:pPr>
      <w:r>
        <w:rPr>
          <w:rFonts w:ascii="Times New Roman;serif" w:hAnsi="Times New Roman;serif"/>
          <w:b w:val="false"/>
          <w:color w:val="231F20"/>
          <w:sz w:val="22"/>
        </w:rPr>
        <w:t>Notwithstanding anything to the contrary herein, [***]. For all other Participants, Provider and Cigna will mutually agree on the format, frequency, and method of data files shared by Provider to Cigna for reporting purposes in the Agreement or otherwise in writing (“Data Files”). This Service Level measures whether the Data Files provided by Provider match the agreed format, frequency, and method. Provider will make available to Cigna the Data Files [***] free as measured by the Provider and the Cigna. “[***]” shall mean that the Data File is available to Cigna by [***]. “[***]” shall mean that the Data File matches [***]. This Service Level is calculated by dividing the [***].</w:t>
      </w:r>
    </w:p>
    <w:p>
      <w:pPr>
        <w:pStyle w:val="TextBody"/>
        <w:bidi w:val="0"/>
        <w:spacing w:before="23" w:after="283"/>
        <w:jc w:val="left"/>
        <w:rPr/>
      </w:pPr>
      <w:r>
        <w:rPr/>
      </w:r>
    </w:p>
    <w:p>
      <w:pPr>
        <w:pStyle w:val="TextBody"/>
        <w:bidi w:val="0"/>
        <w:spacing w:lineRule="auto" w:line="300" w:before="0" w:after="0"/>
        <w:ind w:left="0" w:right="0" w:hanging="360"/>
        <w:jc w:val="left"/>
        <w:rPr>
          <w:rFonts w:ascii="Times New Roman;serif" w:hAnsi="Times New Roman;serif"/>
          <w:b w:val="false"/>
          <w:color w:val="231F20"/>
          <w:sz w:val="22"/>
        </w:rPr>
      </w:pPr>
      <w:r>
        <w:rPr>
          <w:rFonts w:ascii="Times New Roman;serif" w:hAnsi="Times New Roman;serif"/>
          <w:b w:val="false"/>
          <w:color w:val="231F20"/>
          <w:sz w:val="22"/>
        </w:rPr>
        <w:t>6.To the extent of a conflict between this Amendment and the Agreement, this Amendment shall control.</w:t>
      </w:r>
    </w:p>
    <w:p>
      <w:pPr>
        <w:pStyle w:val="TextBody"/>
        <w:bidi w:val="0"/>
        <w:spacing w:before="21" w:after="283"/>
        <w:jc w:val="left"/>
        <w:rPr/>
      </w:pPr>
      <w:r>
        <w:rPr/>
      </w:r>
    </w:p>
    <w:p>
      <w:pPr>
        <w:pStyle w:val="TextBody"/>
        <w:bidi w:val="0"/>
        <w:spacing w:lineRule="auto" w:line="288" w:before="0" w:after="0"/>
        <w:ind w:left="0" w:right="0" w:hanging="359"/>
        <w:jc w:val="left"/>
        <w:rPr>
          <w:rFonts w:ascii="Times New Roman;serif" w:hAnsi="Times New Roman;serif"/>
          <w:b w:val="false"/>
          <w:color w:val="231F20"/>
          <w:sz w:val="22"/>
        </w:rPr>
      </w:pPr>
      <w:r>
        <w:rPr>
          <w:rFonts w:ascii="Times New Roman;serif" w:hAnsi="Times New Roman;serif"/>
          <w:b w:val="false"/>
          <w:color w:val="231F20"/>
          <w:sz w:val="22"/>
        </w:rPr>
        <w:t>7.Any and all capitalized terms not defined herein shall have the same meaning as in the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93" w:after="283"/>
        <w:jc w:val="left"/>
        <w:rPr/>
      </w:pPr>
      <w:r>
        <w:rPr/>
      </w:r>
    </w:p>
    <w:p>
      <w:pPr>
        <w:pStyle w:val="TextBody"/>
        <w:bidi w:val="0"/>
        <w:spacing w:lineRule="auto" w:line="288" w:before="1" w:after="283"/>
        <w:jc w:val="center"/>
        <w:rPr>
          <w:rFonts w:ascii="Times New Roman;serif" w:hAnsi="Times New Roman;serif"/>
          <w:b w:val="false"/>
          <w:color w:val="231F20"/>
          <w:sz w:val="22"/>
        </w:rPr>
      </w:pPr>
      <w:r>
        <w:rPr>
          <w:rFonts w:ascii="Times New Roman;serif" w:hAnsi="Times New Roman;serif"/>
          <w:b w:val="false"/>
          <w:color w:val="231F2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803275"/>
                <wp:effectExtent l="0" t="0" r="0" b="0"/>
                <wp:wrapNone/>
                <wp:docPr id="140" name="Frame137"/>
                <a:graphic xmlns:a="http://schemas.openxmlformats.org/drawingml/2006/main">
                  <a:graphicData uri="http://schemas.microsoft.com/office/word/2010/wordprocessingShape">
                    <wps:wsp>
                      <wps:cNvSpPr txBox="1"/>
                      <wps:spPr>
                        <a:xfrm>
                          <a:off x="0" y="0"/>
                          <a:ext cx="6480175" cy="803275"/>
                        </a:xfrm>
                        <a:prstGeom prst="rect"/>
                        <a:solidFill>
                          <a:srgbClr val="FFFFFF"/>
                        </a:solidFill>
                      </wps:spPr>
                      <wps:txbx>
                        <w:txbxContent>
                          <w:tbl>
                            <w:tblPr>
                              <w:tblW w:w="1229" w:type="dxa"/>
                              <w:jc w:val="left"/>
                              <w:tblInd w:w="0" w:type="dxa"/>
                              <w:tblLayout w:type="fixed"/>
                              <w:tblCellMar>
                                <w:top w:w="28" w:type="dxa"/>
                                <w:left w:w="28" w:type="dxa"/>
                                <w:bottom w:w="28" w:type="dxa"/>
                                <w:right w:w="28" w:type="dxa"/>
                              </w:tblCellMar>
                            </w:tblPr>
                            <w:tblGrid>
                              <w:gridCol w:w="393"/>
                              <w:gridCol w:w="345"/>
                              <w:gridCol w:w="491"/>
                            </w:tblGrid>
                            <w:tr>
                              <w:trPr/>
                              <w:tc>
                                <w:tcPr>
                                  <w:tcW w:w="393" w:type="dxa"/>
                                  <w:tcBorders/>
                                  <w:vAlign w:val="center"/>
                                </w:tcPr>
                                <w:p>
                                  <w:pPr>
                                    <w:pStyle w:val="TableContents"/>
                                    <w:bidi w:val="0"/>
                                    <w:spacing w:before="0" w:after="283"/>
                                    <w:jc w:val="left"/>
                                    <w:rPr>
                                      <w:sz w:val="4"/>
                                      <w:szCs w:val="4"/>
                                    </w:rPr>
                                  </w:pPr>
                                  <w:r>
                                    <w:rPr>
                                      <w:sz w:val="4"/>
                                      <w:szCs w:val="4"/>
                                    </w:rPr>
                                  </w:r>
                                  <w:r>
                                    <w:br w:type="page"/>
                                  </w:r>
                                </w:p>
                              </w:tc>
                              <w:tc>
                                <w:tcPr>
                                  <w:tcW w:w="3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18" w:after="283"/>
                                    <w:jc w:val="left"/>
                                    <w:rPr>
                                      <w:rFonts w:ascii="Times New Roman;serif" w:hAnsi="Times New Roman;serif"/>
                                      <w:b w:val="false"/>
                                      <w:color w:val="231F20"/>
                                      <w:sz w:val="22"/>
                                    </w:rPr>
                                  </w:pPr>
                                  <w:r>
                                    <w:rPr>
                                      <w:rFonts w:ascii="Times New Roman;serif" w:hAnsi="Times New Roman;serif"/>
                                      <w:b w:val="false"/>
                                      <w:color w:val="231F20"/>
                                      <w:sz w:val="22"/>
                                    </w:rPr>
                                    <w:t>Page 2 of 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25pt;mso-wrap-distance-left:0pt;mso-wrap-distance-right:0pt;mso-wrap-distance-top:0pt;mso-wrap-distance-bottom:0pt;margin-top:0pt;mso-position-vertical:top;mso-position-vertical-relative:text;margin-left:0pt;mso-position-horizontal:left;mso-position-horizontal-relative:text">
                <v:textbox>
                  <w:txbxContent>
                    <w:tbl>
                      <w:tblPr>
                        <w:tblW w:w="1229" w:type="dxa"/>
                        <w:jc w:val="left"/>
                        <w:tblInd w:w="0" w:type="dxa"/>
                        <w:tblLayout w:type="fixed"/>
                        <w:tblCellMar>
                          <w:top w:w="28" w:type="dxa"/>
                          <w:left w:w="28" w:type="dxa"/>
                          <w:bottom w:w="28" w:type="dxa"/>
                          <w:right w:w="28" w:type="dxa"/>
                        </w:tblCellMar>
                      </w:tblPr>
                      <w:tblGrid>
                        <w:gridCol w:w="393"/>
                        <w:gridCol w:w="345"/>
                        <w:gridCol w:w="491"/>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18" w:after="283"/>
                              <w:jc w:val="left"/>
                              <w:rPr>
                                <w:rFonts w:ascii="Times New Roman;serif" w:hAnsi="Times New Roman;serif"/>
                                <w:b w:val="false"/>
                                <w:color w:val="231F20"/>
                                <w:sz w:val="22"/>
                              </w:rPr>
                            </w:pPr>
                            <w:r>
                              <w:rPr>
                                <w:rFonts w:ascii="Times New Roman;serif" w:hAnsi="Times New Roman;serif"/>
                                <w:b w:val="false"/>
                                <w:color w:val="231F20"/>
                                <w:sz w:val="22"/>
                              </w:rPr>
                              <w:t>Page 2 of 3</w:t>
                            </w:r>
                          </w:p>
                        </w:tc>
                      </w:tr>
                    </w:tbl>
                    <w:p>
                      <w:pPr>
                        <w:pStyle w:val="TextBody"/>
                        <w:bidi w:val="0"/>
                        <w:spacing w:before="0" w:after="283"/>
                        <w:jc w:val="left"/>
                        <w:rPr/>
                      </w:pPr>
                      <w:r>
                        <w:rPr/>
                      </w:r>
                    </w:p>
                  </w:txbxContent>
                </v:textbox>
                <w10:wrap type="none"/>
              </v:rect>
            </w:pict>
          </mc:Fallback>
        </mc:AlternateContent>
      </w:r>
    </w:p>
    <w:p>
      <w:pPr>
        <w:pStyle w:val="TextBody"/>
        <w:bidi w:val="0"/>
        <w:spacing w:before="178" w:after="283"/>
        <w:jc w:val="left"/>
        <w:rPr/>
      </w:pPr>
      <w:r>
        <w:rPr/>
      </w:r>
    </w:p>
    <w:p>
      <w:pPr>
        <w:pStyle w:val="TextBody"/>
        <w:bidi w:val="0"/>
        <w:spacing w:lineRule="auto" w:line="300" w:before="0" w:after="0"/>
        <w:jc w:val="left"/>
        <w:rPr>
          <w:rFonts w:ascii="Times New Roman;serif" w:hAnsi="Times New Roman;serif"/>
          <w:b w:val="false"/>
          <w:color w:val="231F20"/>
          <w:sz w:val="21"/>
        </w:rPr>
      </w:pPr>
      <w:r>
        <w:rPr>
          <w:rFonts w:ascii="Times New Roman;serif" w:hAnsi="Times New Roman;serif"/>
          <w:b w:val="false"/>
          <w:color w:val="231F20"/>
          <w:sz w:val="21"/>
        </w:rPr>
        <w:t>IN WITNESS WHEREOF the parties have caused this Amendment to be executed by their duly authorized representatives below.</w:t>
      </w:r>
    </w:p>
    <w:p>
      <w:pPr>
        <w:pStyle w:val="TextBody"/>
        <w:bidi w:val="0"/>
        <w:spacing w:before="0" w:after="0"/>
        <w:jc w:val="left"/>
        <w:rPr/>
      </w:pPr>
      <w:r>
        <w:rPr/>
      </w:r>
    </w:p>
    <w:tbl>
      <w:tblPr>
        <w:tblW w:w="7871" w:type="dxa"/>
        <w:jc w:val="left"/>
        <w:tblInd w:w="0" w:type="dxa"/>
        <w:tblLayout w:type="fixed"/>
        <w:tblCellMar>
          <w:top w:w="28" w:type="dxa"/>
          <w:left w:w="28" w:type="dxa"/>
          <w:bottom w:w="28" w:type="dxa"/>
          <w:right w:w="28" w:type="dxa"/>
        </w:tblCellMar>
      </w:tblPr>
      <w:tblGrid>
        <w:gridCol w:w="705"/>
        <w:gridCol w:w="620"/>
        <w:gridCol w:w="625"/>
        <w:gridCol w:w="109"/>
        <w:gridCol w:w="109"/>
        <w:gridCol w:w="109"/>
        <w:gridCol w:w="1636"/>
        <w:gridCol w:w="1636"/>
        <w:gridCol w:w="2322"/>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rPr>
            </w:pPr>
            <w:r>
              <w:rPr>
                <w:rFonts w:ascii="Times New Roman;serif" w:hAnsi="Times New Roman;serif"/>
                <w:b/>
                <w:color w:val="000000"/>
                <w:sz w:val="21"/>
              </w:rPr>
              <w:t>Omada Health,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color w:val="231F20"/>
                <w:sz w:val="21"/>
              </w:rPr>
            </w:pPr>
            <w:r>
              <w:rPr>
                <w:rFonts w:ascii="Times New Roman;serif" w:hAnsi="Times New Roman;serif"/>
                <w:b/>
                <w:color w:val="231F20"/>
                <w:sz w:val="21"/>
              </w:rPr>
              <w:t>Cigna Health and Life Insurance Company and its affiliates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231F20"/>
                <w:sz w:val="21"/>
              </w:rPr>
            </w:pPr>
            <w:r>
              <w:rPr>
                <w:rFonts w:ascii="Times New Roman;serif" w:hAnsi="Times New Roman;serif"/>
                <w:b w:val="false"/>
                <w:color w:val="231F20"/>
                <w:sz w:val="21"/>
              </w:rPr>
              <w:t>By: /s/ Sean Duffy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231F20"/>
                <w:sz w:val="21"/>
              </w:rPr>
            </w:pPr>
            <w:r>
              <w:rPr>
                <w:rFonts w:ascii="Times New Roman;serif" w:hAnsi="Times New Roman;serif"/>
                <w:b w:val="false"/>
                <w:color w:val="231F20"/>
                <w:sz w:val="21"/>
              </w:rPr>
              <w:t>By: /s/ Mario Vangeli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231F20"/>
                <w:sz w:val="21"/>
              </w:rPr>
            </w:pPr>
            <w:r>
              <w:rPr>
                <w:rFonts w:ascii="Times New Roman;serif" w:hAnsi="Times New Roman;serif"/>
                <w:b w:val="false"/>
                <w:color w:val="231F20"/>
                <w:sz w:val="21"/>
              </w:rPr>
              <w:t>Name: Sean Duffy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231F20"/>
                <w:sz w:val="21"/>
              </w:rPr>
            </w:pPr>
            <w:r>
              <w:rPr>
                <w:rFonts w:ascii="Times New Roman;serif" w:hAnsi="Times New Roman;serif"/>
                <w:b w:val="false"/>
                <w:color w:val="231F20"/>
                <w:sz w:val="21"/>
              </w:rPr>
              <w:t>Name: Mario Vangeli</w:t>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231F20"/>
                <w:sz w:val="21"/>
              </w:rPr>
            </w:pPr>
            <w:r>
              <w:rPr>
                <w:rFonts w:ascii="Times New Roman;serif" w:hAnsi="Times New Roman;serif"/>
                <w:b w:val="false"/>
                <w:color w:val="231F20"/>
                <w:sz w:val="21"/>
              </w:rPr>
              <w:t>Title: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231F20"/>
                <w:sz w:val="21"/>
              </w:rPr>
            </w:pPr>
            <w:r>
              <w:rPr>
                <w:rFonts w:ascii="Times New Roman;serif" w:hAnsi="Times New Roman;serif"/>
                <w:b w:val="false"/>
                <w:color w:val="231F20"/>
                <w:sz w:val="21"/>
              </w:rPr>
              <w:t>Title: VP, National Contracting</w:t>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231F20"/>
                <w:sz w:val="21"/>
              </w:rPr>
            </w:pPr>
            <w:r>
              <w:rPr>
                <w:rFonts w:ascii="Times New Roman;serif" w:hAnsi="Times New Roman;serif"/>
                <w:b w:val="false"/>
                <w:color w:val="231F20"/>
                <w:sz w:val="21"/>
              </w:rPr>
              <w:t>Date: 12/29/2025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231F20"/>
                <w:sz w:val="21"/>
              </w:rPr>
            </w:pPr>
            <w:r>
              <w:rPr>
                <w:rFonts w:ascii="Times New Roman;serif" w:hAnsi="Times New Roman;serif"/>
                <w:b w:val="false"/>
                <w:color w:val="231F20"/>
                <w:sz w:val="21"/>
              </w:rPr>
              <w:t>Date: 12/29/2025</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19.1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03275"/>
                <wp:effectExtent l="0" t="0" r="0" b="0"/>
                <wp:wrapNone/>
                <wp:docPr id="141" name="Frame138"/>
                <a:graphic xmlns:a="http://schemas.openxmlformats.org/drawingml/2006/main">
                  <a:graphicData uri="http://schemas.microsoft.com/office/word/2010/wordprocessingShape">
                    <wps:wsp>
                      <wps:cNvSpPr txBox="1"/>
                      <wps:spPr>
                        <a:xfrm>
                          <a:off x="0" y="0"/>
                          <a:ext cx="6480175" cy="803275"/>
                        </a:xfrm>
                        <a:prstGeom prst="rect"/>
                        <a:solidFill>
                          <a:srgbClr val="FFFFFF"/>
                        </a:solidFill>
                      </wps:spPr>
                      <wps:txbx>
                        <w:txbxContent>
                          <w:tbl>
                            <w:tblPr>
                              <w:tblW w:w="1229" w:type="dxa"/>
                              <w:jc w:val="left"/>
                              <w:tblInd w:w="0" w:type="dxa"/>
                              <w:tblLayout w:type="fixed"/>
                              <w:tblCellMar>
                                <w:top w:w="28" w:type="dxa"/>
                                <w:left w:w="28" w:type="dxa"/>
                                <w:bottom w:w="28" w:type="dxa"/>
                                <w:right w:w="28" w:type="dxa"/>
                              </w:tblCellMar>
                            </w:tblPr>
                            <w:tblGrid>
                              <w:gridCol w:w="393"/>
                              <w:gridCol w:w="345"/>
                              <w:gridCol w:w="491"/>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18" w:after="283"/>
                                    <w:jc w:val="left"/>
                                    <w:rPr>
                                      <w:rFonts w:ascii="Times New Roman;serif" w:hAnsi="Times New Roman;serif"/>
                                      <w:b w:val="false"/>
                                      <w:color w:val="231F20"/>
                                      <w:sz w:val="22"/>
                                    </w:rPr>
                                  </w:pPr>
                                  <w:r>
                                    <w:rPr>
                                      <w:rFonts w:ascii="Times New Roman;serif" w:hAnsi="Times New Roman;serif"/>
                                      <w:b w:val="false"/>
                                      <w:color w:val="231F20"/>
                                      <w:sz w:val="22"/>
                                    </w:rPr>
                                    <w:t>Page 3 of 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25pt;mso-wrap-distance-left:0pt;mso-wrap-distance-right:0pt;mso-wrap-distance-top:0pt;mso-wrap-distance-bottom:0pt;margin-top:0pt;mso-position-vertical:top;mso-position-vertical-relative:text;margin-left:-430.35pt;mso-position-horizontal:left;mso-position-horizontal-relative:text">
                <v:textbox>
                  <w:txbxContent>
                    <w:tbl>
                      <w:tblPr>
                        <w:tblW w:w="1229" w:type="dxa"/>
                        <w:jc w:val="left"/>
                        <w:tblInd w:w="0" w:type="dxa"/>
                        <w:tblLayout w:type="fixed"/>
                        <w:tblCellMar>
                          <w:top w:w="28" w:type="dxa"/>
                          <w:left w:w="28" w:type="dxa"/>
                          <w:bottom w:w="28" w:type="dxa"/>
                          <w:right w:w="28" w:type="dxa"/>
                        </w:tblCellMar>
                      </w:tblPr>
                      <w:tblGrid>
                        <w:gridCol w:w="393"/>
                        <w:gridCol w:w="345"/>
                        <w:gridCol w:w="491"/>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18" w:after="283"/>
                              <w:jc w:val="left"/>
                              <w:rPr>
                                <w:rFonts w:ascii="Times New Roman;serif" w:hAnsi="Times New Roman;serif"/>
                                <w:b w:val="false"/>
                                <w:color w:val="231F20"/>
                                <w:sz w:val="22"/>
                              </w:rPr>
                            </w:pPr>
                            <w:r>
                              <w:rPr>
                                <w:rFonts w:ascii="Times New Roman;serif" w:hAnsi="Times New Roman;serif"/>
                                <w:b w:val="false"/>
                                <w:color w:val="231F20"/>
                                <w:sz w:val="22"/>
                              </w:rPr>
                              <w:t>Page 3 of 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color w:val="000000"/>
          <w:sz w:val="20"/>
        </w:rPr>
        <w:t>Omada Health, Inc.</w:t>
      </w:r>
      <w:r>
        <w:rPr>
          <w:rFonts w:ascii="Times New Roman;serif" w:hAnsi="Times New Roman;serif"/>
          <w:b w:val="false"/>
          <w:color w:val="000000"/>
          <w:sz w:val="20"/>
        </w:rPr>
        <w:br/>
      </w:r>
      <w:r>
        <w:rPr>
          <w:rFonts w:ascii="Times New Roman;serif" w:hAnsi="Times New Roman;serif"/>
          <w:b/>
          <w:color w:val="000000"/>
          <w:sz w:val="20"/>
        </w:rPr>
        <w:t>Insider Trading Compliance Policy and Procedures</w:t>
      </w:r>
    </w:p>
    <w:p>
      <w:pPr>
        <w:pStyle w:val="TextBody"/>
        <w:bidi w:val="0"/>
        <w:spacing w:lineRule="auto" w:line="285" w:before="0" w:after="360"/>
        <w:jc w:val="center"/>
        <w:rPr>
          <w:rFonts w:ascii="Times New Roman;serif" w:hAnsi="Times New Roman;serif"/>
          <w:b w:val="false"/>
          <w:color w:val="000000"/>
          <w:sz w:val="20"/>
        </w:rPr>
      </w:pPr>
      <w:r>
        <w:rPr>
          <w:rFonts w:ascii="Times New Roman;serif" w:hAnsi="Times New Roman;serif"/>
          <w:b w:val="false"/>
          <w:color w:val="000000"/>
          <w:sz w:val="20"/>
        </w:rPr>
        <w:t>(Effective as of the effectiveness of the Company’s registration statement related to its initial public offering)</w:t>
      </w:r>
    </w:p>
    <w:p>
      <w:pPr>
        <w:pStyle w:val="TextBody"/>
        <w:bidi w:val="0"/>
        <w:spacing w:lineRule="auto" w:line="288" w:before="0" w:after="240"/>
        <w:jc w:val="both"/>
        <w:rPr/>
      </w:pPr>
      <w:r>
        <w:rPr>
          <w:rFonts w:ascii="Times New Roman;serif" w:hAnsi="Times New Roman;serif"/>
          <w:b w:val="false"/>
          <w:color w:val="000000"/>
          <w:sz w:val="20"/>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Omada Health, Inc. (together with its subsidiaries and affiliated entities,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xml:space="preserve">),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 </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Persons Covered and Administration of Policy</w:t>
      </w:r>
    </w:p>
    <w:p>
      <w:pPr>
        <w:pStyle w:val="TextBody"/>
        <w:bidi w:val="0"/>
        <w:spacing w:lineRule="auto" w:line="288" w:before="0" w:after="240"/>
        <w:jc w:val="both"/>
        <w:rPr/>
      </w:pPr>
      <w:r>
        <w:rPr>
          <w:rFonts w:ascii="Times New Roman;serif" w:hAnsi="Times New Roman;serif"/>
          <w:b w:val="false"/>
          <w:color w:val="000000"/>
          <w:sz w:val="20"/>
        </w:rPr>
        <w:t>This Insider Trading Compliance Policy and Procedures (this “</w:t>
      </w:r>
      <w:r>
        <w:rPr>
          <w:rFonts w:ascii="Times New Roman;serif" w:hAnsi="Times New Roman;serif"/>
          <w:b w:val="false"/>
          <w:color w:val="000000"/>
          <w:sz w:val="20"/>
          <w:u w:val="single"/>
        </w:rPr>
        <w:t>Policy</w:t>
      </w:r>
      <w:r>
        <w:rPr>
          <w:color w:val="000000"/>
        </w:rPr>
        <w:t>”</w:t>
      </w:r>
      <w:r>
        <w:rPr>
          <w:rFonts w:ascii="Times New Roman;serif" w:hAnsi="Times New Roman;serif"/>
          <w:b w:val="false"/>
          <w:color w:val="000000"/>
          <w:sz w:val="20"/>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General Counsel or his or her designee (the “</w:t>
      </w:r>
      <w:r>
        <w:rPr>
          <w:rFonts w:ascii="Times New Roman;serif" w:hAnsi="Times New Roman;serif"/>
          <w:b w:val="false"/>
          <w:color w:val="000000"/>
          <w:sz w:val="20"/>
          <w:u w:val="single"/>
        </w:rPr>
        <w:t>Compliance Officer</w:t>
      </w:r>
      <w:r>
        <w:rPr>
          <w:color w:val="000000"/>
        </w:rPr>
        <w:t>”</w:t>
      </w:r>
      <w:r>
        <w:rPr>
          <w:rFonts w:ascii="Times New Roman;serif" w:hAnsi="Times New Roman;serif"/>
          <w:b w:val="false"/>
          <w:color w:val="000000"/>
          <w:sz w:val="20"/>
        </w:rPr>
        <w:t>), are referred to collectively as “</w:t>
      </w:r>
      <w:r>
        <w:rPr>
          <w:rFonts w:ascii="Times New Roman;serif" w:hAnsi="Times New Roman;serif"/>
          <w:b w:val="false"/>
          <w:color w:val="000000"/>
          <w:sz w:val="20"/>
          <w:u w:val="single"/>
        </w:rPr>
        <w:t>Covered Persons</w:t>
      </w:r>
      <w:r>
        <w:rPr>
          <w:rFonts w:ascii="Times New Roman;serif" w:hAnsi="Times New Roman;serif"/>
          <w:b w:val="false"/>
          <w:color w:val="000000"/>
          <w:sz w:val="2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Questions regarding the Policy should be directed to the Compliance Officer, who is responsible for the administration of this Policy. </w:t>
      </w: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Policy Statement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no Covered Person shall purchase or sell any security of any other company while in possession of material nonpublic information about the other company if such information is obtained in the course of the Covered Person’s employment or service with the Company. “Purchase” and “sell” include a broad range of transactions, including conventional cash-for-stock transactions, the exercise of stock options (where there is a sale of the underlying shares, including to pay the exercise price), transfers, gifts, and acquisitions and exercises of warrants or puts, calls, pledging and margin loans, or other derivative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 </w:t>
      </w:r>
    </w:p>
    <w:p>
      <w:pPr>
        <w:pStyle w:val="TextBody"/>
        <w:bidi w:val="0"/>
        <w:spacing w:lineRule="auto" w:line="288" w:before="0" w:after="240"/>
        <w:jc w:val="both"/>
        <w:rPr/>
      </w:pPr>
      <w:r>
        <w:rPr>
          <w:color w:val="000000"/>
        </w:rPr>
        <w:t>“</w:t>
      </w:r>
      <w:r>
        <w:rPr>
          <w:rFonts w:ascii="Times New Roman;serif" w:hAnsi="Times New Roman;serif"/>
          <w:b w:val="false"/>
          <w:color w:val="000000"/>
          <w:sz w:val="20"/>
          <w:u w:val="single"/>
        </w:rPr>
        <w:t>Securities</w:t>
      </w:r>
      <w:r>
        <w:rPr>
          <w:color w:val="000000"/>
        </w:rPr>
        <w:t xml:space="preserve">” </w:t>
      </w:r>
      <w:r>
        <w:rPr>
          <w:rFonts w:ascii="Times New Roman;serif" w:hAnsi="Times New Roman;serif"/>
          <w:b w:val="false"/>
          <w:color w:val="000000"/>
          <w:sz w:val="20"/>
        </w:rPr>
        <w:t>includes stocks, bonds, notes, debentures, options, warrants, equity, and other convertible securities, as well as derivative instruments.</w:t>
      </w:r>
    </w:p>
    <w:p>
      <w:pPr>
        <w:pStyle w:val="TextBody"/>
        <w:bidi w:val="0"/>
        <w:spacing w:lineRule="auto" w:line="288" w:before="0" w:after="240"/>
        <w:jc w:val="both"/>
        <w:rPr/>
      </w:pPr>
      <w:r>
        <w:rPr>
          <w:color w:val="000000"/>
        </w:rPr>
        <w:t>“</w:t>
      </w:r>
      <w:r>
        <w:rPr>
          <w:rFonts w:ascii="Times New Roman;serif" w:hAnsi="Times New Roman;serif"/>
          <w:b w:val="false"/>
          <w:color w:val="000000"/>
          <w:sz w:val="20"/>
          <w:u w:val="single"/>
        </w:rPr>
        <w:t>Purchase</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color w:val="000000"/>
          <w:sz w:val="20"/>
          <w:u w:val="single"/>
        </w:rPr>
        <w:t>sale</w:t>
      </w:r>
      <w:r>
        <w:rPr>
          <w:color w:val="000000"/>
        </w:rPr>
        <w:t xml:space="preserve">” </w:t>
      </w:r>
      <w:r>
        <w:rPr>
          <w:rFonts w:ascii="Times New Roman;serif" w:hAnsi="Times New Roman;serif"/>
          <w:b w:val="false"/>
          <w:color w:val="000000"/>
          <w:sz w:val="20"/>
        </w:rPr>
        <w:t xml:space="preserve">are defined broadly under the federal securities law. </w:t>
      </w:r>
      <w:r>
        <w:rPr>
          <w:color w:val="000000"/>
        </w:rPr>
        <w:t>“</w:t>
      </w:r>
      <w:r>
        <w:rPr>
          <w:rFonts w:ascii="Times New Roman;serif" w:hAnsi="Times New Roman;serif"/>
          <w:b w:val="false"/>
          <w:color w:val="000000"/>
          <w:sz w:val="20"/>
        </w:rPr>
        <w:t>Purchase</w:t>
      </w:r>
      <w:r>
        <w:rPr>
          <w:color w:val="000000"/>
        </w:rPr>
        <w:t xml:space="preserve">” </w:t>
      </w:r>
      <w:r>
        <w:rPr>
          <w:rFonts w:ascii="Times New Roman;serif" w:hAnsi="Times New Roman;serif"/>
          <w:b w:val="false"/>
          <w:color w:val="000000"/>
          <w:sz w:val="20"/>
        </w:rPr>
        <w:t xml:space="preserve">includes not only the actual purchase of a security but also any contract to purchase or otherwise acquire a security. </w:t>
      </w:r>
      <w:r>
        <w:rPr>
          <w:color w:val="000000"/>
        </w:rPr>
        <w:t>“</w:t>
      </w:r>
      <w:r>
        <w:rPr>
          <w:rFonts w:ascii="Times New Roman;serif" w:hAnsi="Times New Roman;serif"/>
          <w:b w:val="false"/>
          <w:color w:val="000000"/>
          <w:sz w:val="20"/>
        </w:rPr>
        <w:t>Sale</w:t>
      </w:r>
      <w:r>
        <w:rPr>
          <w:color w:val="000000"/>
        </w:rPr>
        <w:t xml:space="preserve">” </w:t>
      </w:r>
      <w:r>
        <w:rPr>
          <w:rFonts w:ascii="Times New Roman;serif" w:hAnsi="Times New Roman;serif"/>
          <w:b w:val="false"/>
          <w:color w:val="000000"/>
          <w:sz w:val="20"/>
        </w:rPr>
        <w:t xml:space="preserve">includes not only the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2"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actual sale of a security but also any contract to sell or otherwise dispose of a security. These definitions extend to a broad range of transactions, including conventional cash-for-stock transactions, the exercise of stock options (where there is a sale of the underlying shares, including to pay the exercise price), transfers, gifts, and acquisitions and exercises of warrants or puts, calls, pledging and margin loans, or other derivative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laws and regulations concerning insider trading are complex, and Covered Persons are encouraged to seek guidance from the Compliance Officer prior to considering a transaction in Company securities. </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Blackout Periods</w:t>
      </w:r>
    </w:p>
    <w:p>
      <w:pPr>
        <w:pStyle w:val="TextBody"/>
        <w:bidi w:val="0"/>
        <w:spacing w:lineRule="auto" w:line="288" w:before="0" w:after="240"/>
        <w:jc w:val="both"/>
        <w:rPr/>
      </w:pPr>
      <w:r>
        <w:rPr>
          <w:rFonts w:ascii="Times New Roman;serif" w:hAnsi="Times New Roman;serif"/>
          <w:b w:val="false"/>
          <w:color w:val="000000"/>
          <w:sz w:val="20"/>
        </w:rPr>
        <w:t>No director, officer, or employee (as well as any individual or entity covered by this Policy by virtue of their relationship to such director, officer, or employee) shall purchase or sell any security of the Company during the period beginning on the 15th calendar day of the last month of any fiscal quarter of the Company and ending after completion of the second full trading day after the public release of earnings data for such fiscal quarter or during any other trading suspension period declared by the Company (such period, a “</w:t>
      </w:r>
      <w:r>
        <w:rPr>
          <w:rFonts w:ascii="Times New Roman;serif" w:hAnsi="Times New Roman;serif"/>
          <w:b w:val="false"/>
          <w:color w:val="000000"/>
          <w:sz w:val="20"/>
          <w:u w:val="single"/>
        </w:rPr>
        <w:t>blackout period</w:t>
      </w:r>
      <w:r>
        <w:rPr>
          <w:color w:val="000000"/>
        </w:rPr>
        <w:t>”</w:t>
      </w:r>
      <w:r>
        <w:rPr>
          <w:rFonts w:ascii="Times New Roman;serif" w:hAnsi="Times New Roman;serif"/>
          <w:b w:val="false"/>
          <w:color w:val="000000"/>
          <w:sz w:val="20"/>
        </w:rPr>
        <w:t xml:space="preserve">). A “trading day” is a day on which U.S. national stock exchanges are open for trading. If, for example, the Company were to make an announcement on Monday </w:t>
      </w:r>
      <w:r>
        <w:rPr>
          <w:rFonts w:ascii="Times New Roman;serif" w:hAnsi="Times New Roman;serif"/>
          <w:b w:val="false"/>
          <w:i/>
          <w:color w:val="000000"/>
          <w:sz w:val="20"/>
        </w:rPr>
        <w:t>prior</w:t>
      </w:r>
      <w:r>
        <w:rPr>
          <w:color w:val="000000"/>
        </w:rPr>
        <w:t xml:space="preserve"> </w:t>
      </w:r>
      <w:r>
        <w:rPr>
          <w:rFonts w:ascii="Times New Roman;serif" w:hAnsi="Times New Roman;serif"/>
          <w:b w:val="false"/>
          <w:color w:val="000000"/>
          <w:sz w:val="20"/>
        </w:rPr>
        <w:t xml:space="preserve">to 9:30 a.m. Eastern Time, then the blackout period would terminate </w:t>
      </w:r>
      <w:r>
        <w:rPr>
          <w:rFonts w:ascii="Times New Roman;serif" w:hAnsi="Times New Roman;serif"/>
          <w:b w:val="false"/>
          <w:i/>
          <w:color w:val="000000"/>
          <w:sz w:val="20"/>
        </w:rPr>
        <w:t>after</w:t>
      </w:r>
      <w:r>
        <w:rPr>
          <w:color w:val="000000"/>
        </w:rPr>
        <w:t xml:space="preserve"> </w:t>
      </w:r>
      <w:r>
        <w:rPr>
          <w:rFonts w:ascii="Times New Roman;serif" w:hAnsi="Times New Roman;serif"/>
          <w:b w:val="false"/>
          <w:color w:val="000000"/>
          <w:sz w:val="20"/>
        </w:rPr>
        <w:t>the close of trading on Tuesday. If an announcement were made on Monday after 9:30 a.m. Eastern Time, then the blackout period would terminate after the close of trading on Wednesday. If you have any question as to whether information is publicly available, please direct an inquiry to the Compliance Officer.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prohibitions do not apply to:</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0"/>
        </w:rPr>
        <w:t>purchases of the Company’s securities from the Company, or sales of the Company’s securities to the Company;</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0"/>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w:t>
      </w:r>
    </w:p>
    <w:p>
      <w:pPr>
        <w:pStyle w:val="TextBody"/>
        <w:bidi w:val="0"/>
        <w:spacing w:lineRule="auto" w:line="288" w:before="0" w:after="240"/>
        <w:ind w:left="0" w:right="0" w:hanging="720"/>
        <w:jc w:val="both"/>
        <w:rPr/>
      </w:pPr>
      <w:r>
        <w:rPr>
          <w:color w:val="000000"/>
        </w:rPr>
        <w:t>●</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gifts of the Company’s securities, unless the individual making the gift knows, or is reckless in not knowing, the recipient intends to sell the securities while the donor is in possession of material nonpublic information about the Company; or</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0"/>
        </w:rPr>
        <w:t>purchases or sales of the Company’s securities made pursuant to a plan adopted to comply with the Exchange Act Rule 10b5-1 (“</w:t>
      </w:r>
      <w:r>
        <w:rPr>
          <w:rFonts w:ascii="Times New Roman;serif" w:hAnsi="Times New Roman;serif"/>
          <w:b w:val="false"/>
          <w:color w:val="000000"/>
          <w:sz w:val="20"/>
          <w:u w:val="single"/>
        </w:rPr>
        <w:t>Rule 10b5-1</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Exceptions to the blackout period policy may be approved by the Compliance Officer (or, if the Compliance Officer is not available, by the Chief Financial Officer) or, in the case of an exception for the Compliance Officer, the Chief Financial Officer, or in the case of exceptions for directors, the Board of Directors.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Compliance Officer may recommend that directors, officers, employees, or others suspend trading in Company securities because of developments that have not yet been disclosed to the public. Subject to the exceptions noted above, all of those individuals affected should not trade in the Company’s securities while the suspension is in effect and should not disclose to others that the Company has suspended trading.</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Preclearance of Trades by Directors, Officers, and Employees</w:t>
      </w:r>
    </w:p>
    <w:p>
      <w:pPr>
        <w:pStyle w:val="TextBody"/>
        <w:bidi w:val="0"/>
        <w:spacing w:lineRule="auto" w:line="288" w:before="0" w:after="240"/>
        <w:jc w:val="both"/>
        <w:rPr/>
      </w:pPr>
      <w:r>
        <w:rPr>
          <w:rFonts w:ascii="Times New Roman;serif" w:hAnsi="Times New Roman;serif"/>
          <w:b w:val="false"/>
          <w:color w:val="000000"/>
          <w:sz w:val="20"/>
        </w:rPr>
        <w:t>All transactions in the Company’s securities by directors, officers, and certain employees designated from time to time by the Compliance Officer (each, a “</w:t>
      </w:r>
      <w:r>
        <w:rPr>
          <w:rFonts w:ascii="Times New Roman;serif" w:hAnsi="Times New Roman;serif"/>
          <w:b w:val="false"/>
          <w:color w:val="000000"/>
          <w:sz w:val="20"/>
          <w:u w:val="single"/>
        </w:rPr>
        <w:t>Preclearance Person</w:t>
      </w:r>
      <w:r>
        <w:rPr>
          <w:color w:val="000000"/>
        </w:rPr>
        <w:t>”</w:t>
      </w:r>
      <w:r>
        <w:rPr>
          <w:rFonts w:ascii="Times New Roman;serif" w:hAnsi="Times New Roman;serif"/>
          <w:b w:val="false"/>
          <w:color w:val="000000"/>
          <w:sz w:val="20"/>
        </w:rPr>
        <w:t xml:space="preserve">) must be precleared by the Compliance Officer, or by the Chief Financial Officer for transactions by the Compliance Officer. The Compliance Officer will maintain a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63880"/>
                <wp:effectExtent l="0" t="0" r="0" b="0"/>
                <wp:wrapNone/>
                <wp:docPr id="143" name="Frame140"/>
                <a:graphic xmlns:a="http://schemas.openxmlformats.org/drawingml/2006/main">
                  <a:graphicData uri="http://schemas.microsoft.com/office/word/2010/wordprocessingShape">
                    <wps:wsp>
                      <wps:cNvSpPr txBox="1"/>
                      <wps:spPr>
                        <a:xfrm>
                          <a:off x="0" y="0"/>
                          <a:ext cx="6480175" cy="56388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list of Preclearance Persons and notify employees who have been designated as Preclearance Persons. Preclearance should not be understood to represent legal advice by the Company that a proposed transaction complies with the law.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 All transactions that are precleared must be effected within five business days of receipt of the preclearance. A precleared transaction (or any portion of a precleared transaction)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 of the Company, the Compliance Officer, or the Company’s other employees will have any liability for any delay in reviewing, or refusal of, a request for preclearance.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this pre-clearance policy does not apply to venture capital entities or other institutional investors, and the related transactions in the Company’s equity securities by such entities, that may be affiliated with a director of the Company or for Company equity securities that a director may be deemed to have beneficial ownership of by virtue of such affiliation.</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Material Nonpublic Information</w:t>
      </w:r>
    </w:p>
    <w:p>
      <w:pPr>
        <w:pStyle w:val="TextBody"/>
        <w:bidi w:val="0"/>
        <w:spacing w:lineRule="auto" w:line="288" w:before="0" w:after="240"/>
        <w:jc w:val="both"/>
        <w:rPr/>
      </w:pPr>
      <w:r>
        <w:rPr>
          <w:rFonts w:ascii="Times New Roman;serif" w:hAnsi="Times New Roman;serif"/>
          <w:b w:val="false"/>
          <w:color w:val="000000"/>
          <w:sz w:val="20"/>
        </w:rPr>
        <w:t>Information is considered “</w:t>
      </w:r>
      <w:r>
        <w:rPr>
          <w:rFonts w:ascii="Times New Roman;serif" w:hAnsi="Times New Roman;serif"/>
          <w:b w:val="false"/>
          <w:color w:val="000000"/>
          <w:sz w:val="20"/>
          <w:u w:val="single"/>
        </w:rPr>
        <w:t>material</w:t>
      </w:r>
      <w:r>
        <w:rPr>
          <w:color w:val="000000"/>
        </w:rPr>
        <w:t xml:space="preserve">” </w:t>
      </w:r>
      <w:r>
        <w:rPr>
          <w:rFonts w:ascii="Times New Roman;serif" w:hAnsi="Times New Roman;serif"/>
          <w:b w:val="false"/>
          <w:color w:val="000000"/>
          <w:sz w:val="20"/>
        </w:rPr>
        <w:t>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Examples of material information may include (but are not limited to) information about: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corporate earnings or earnings forecasts;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possible mergers, acquisitions, tender offers, or dispositions;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major new products or product developments;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important business developments, such as developments regarding strategic transactions or significant new customers;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management or control changes;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significant financing developments, including pending public sales or offerings of debt or equity securities;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defaults on borrowings;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bankruptcies;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cybersecurity or data security incidents;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significant litigation or regulatory actions.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63880"/>
                <wp:effectExtent l="0" t="0" r="0" b="0"/>
                <wp:wrapNone/>
                <wp:docPr id="144" name="Frame141"/>
                <a:graphic xmlns:a="http://schemas.openxmlformats.org/drawingml/2006/main">
                  <a:graphicData uri="http://schemas.microsoft.com/office/word/2010/wordprocessingShape">
                    <wps:wsp>
                      <wps:cNvSpPr txBox="1"/>
                      <wps:spPr>
                        <a:xfrm>
                          <a:off x="0" y="0"/>
                          <a:ext cx="6480175" cy="56388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Information is “</w:t>
      </w:r>
      <w:r>
        <w:rPr>
          <w:rFonts w:ascii="Times New Roman;serif" w:hAnsi="Times New Roman;serif"/>
          <w:b w:val="false"/>
          <w:color w:val="000000"/>
          <w:sz w:val="20"/>
          <w:u w:val="single"/>
        </w:rPr>
        <w:t>nonpublic</w:t>
      </w:r>
      <w:r>
        <w:rPr>
          <w:color w:val="000000"/>
        </w:rPr>
        <w:t xml:space="preserve">” </w:t>
      </w:r>
      <w:r>
        <w:rPr>
          <w:rFonts w:ascii="Times New Roman;serif" w:hAnsi="Times New Roman;serif"/>
          <w:b w:val="false"/>
          <w:color w:val="000000"/>
          <w:sz w:val="20"/>
        </w:rPr>
        <w:t>if it is not available to the general public. In order for information to be considered “</w:t>
      </w:r>
      <w:r>
        <w:rPr>
          <w:rFonts w:ascii="Times New Roman;serif" w:hAnsi="Times New Roman;serif"/>
          <w:b w:val="false"/>
          <w:color w:val="000000"/>
          <w:sz w:val="20"/>
          <w:u w:val="single"/>
        </w:rPr>
        <w:t>public</w:t>
      </w:r>
      <w:r>
        <w:rPr>
          <w:rFonts w:ascii="Times New Roman;serif" w:hAnsi="Times New Roman;serif"/>
          <w:b w:val="false"/>
          <w:color w:val="000000"/>
          <w:sz w:val="20"/>
        </w:rPr>
        <w:t>,” it must be widely disseminated in a manner that makes it generally available to investors in a Regulation FD-compliant method, such as through a press release, a filing with the U.S. Securities and Exchange Commission (the “</w:t>
      </w:r>
      <w:r>
        <w:rPr>
          <w:rFonts w:ascii="Times New Roman;serif" w:hAnsi="Times New Roman;serif"/>
          <w:b w:val="false"/>
          <w:color w:val="000000"/>
          <w:sz w:val="20"/>
          <w:u w:val="single"/>
        </w:rPr>
        <w:t>SEC</w:t>
      </w:r>
      <w:r>
        <w:rPr>
          <w:color w:val="000000"/>
        </w:rPr>
        <w:t>”</w:t>
      </w:r>
      <w:r>
        <w:rPr>
          <w:rFonts w:ascii="Times New Roman;serif" w:hAnsi="Times New Roman;serif"/>
          <w:b w:val="false"/>
          <w:color w:val="000000"/>
          <w:sz w:val="20"/>
        </w:rPr>
        <w:t>), or a Regulation FD-compliant conference call. The Compliance Officer shall have sole discretion to decide whether information is public for purposes of this Policy.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 </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Post-Termination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an individual is in possession of material nonpublic information when the individual’s service terminates, the individual may not trade in the Company’s securities until that information has become public or is no longer material.</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Prohibited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Short Sales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low confidence in the Company or its short-term prospects. In addition, Section 16(c) of the Exchange Act prohibits Section 16 reporting persons (i.e., directors, officers, and the Company’s 10% stockholders) from making short sales of the Company’s equity securities.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Option Contracts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Transactions in puts, calls, or other derivative securities involving the Company’s equity securities, on an exchange, on an over-the-counter market, or in any other organized market, are prohibited by this Policy. These transactions in options are, in effect, a bet on the short-term movement of the Company’s stock and, therefore, create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Hedging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63880"/>
                <wp:effectExtent l="0" t="0" r="0" b="0"/>
                <wp:wrapNone/>
                <wp:docPr id="145" name="Frame142"/>
                <a:graphic xmlns:a="http://schemas.openxmlformats.org/drawingml/2006/main">
                  <a:graphicData uri="http://schemas.microsoft.com/office/word/2010/wordprocessingShape">
                    <wps:wsp>
                      <wps:cNvSpPr txBox="1"/>
                      <wps:spPr>
                        <a:xfrm>
                          <a:off x="0" y="0"/>
                          <a:ext cx="6480175" cy="56388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Margin Accounts and Pledging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Partnership Distributions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Rule 10b5-1 Trading Plans</w:t>
      </w:r>
    </w:p>
    <w:p>
      <w:pPr>
        <w:pStyle w:val="TextBody"/>
        <w:bidi w:val="0"/>
        <w:spacing w:lineRule="auto" w:line="288" w:before="0" w:after="240"/>
        <w:jc w:val="both"/>
        <w:rPr/>
      </w:pPr>
      <w:r>
        <w:rPr>
          <w:rFonts w:ascii="Times New Roman;serif" w:hAnsi="Times New Roman;serif"/>
          <w:b w:val="false"/>
          <w:color w:val="000000"/>
          <w:sz w:val="20"/>
        </w:rPr>
        <w:t>The trading restrictions set forth in this Policy, other than those transactions described under “</w:t>
      </w:r>
      <w:r>
        <w:rPr>
          <w:rFonts w:ascii="Times New Roman;serif" w:hAnsi="Times New Roman;serif"/>
          <w:b w:val="false"/>
          <w:color w:val="000000"/>
          <w:sz w:val="20"/>
          <w:u w:val="single"/>
        </w:rPr>
        <w:t>Prohibited Transactions</w:t>
      </w:r>
      <w:r>
        <w:rPr>
          <w:rFonts w:ascii="Times New Roman;serif" w:hAnsi="Times New Roman;serif"/>
          <w:b w:val="false"/>
          <w:color w:val="000000"/>
          <w:sz w:val="20"/>
        </w:rPr>
        <w:t>,” do not apply to transactions under a previously established contract, plan, or instruction to trade in the Company’s securities entered into in accordance with Rule 10b5-1 (a “</w:t>
      </w:r>
      <w:r>
        <w:rPr>
          <w:rFonts w:ascii="Times New Roman;serif" w:hAnsi="Times New Roman;serif"/>
          <w:b w:val="false"/>
          <w:color w:val="000000"/>
          <w:sz w:val="20"/>
          <w:u w:val="single"/>
        </w:rPr>
        <w:t>Trading Plan</w:t>
      </w:r>
      <w:r>
        <w:rPr>
          <w:color w:val="000000"/>
        </w:rPr>
        <w:t>”</w:t>
      </w:r>
      <w:r>
        <w:rPr>
          <w:rFonts w:ascii="Times New Roman;serif" w:hAnsi="Times New Roman;serif"/>
          <w:b w:val="false"/>
          <w:color w:val="000000"/>
          <w:sz w:val="20"/>
        </w:rPr>
        <w:t xml:space="preserve">) that: </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0"/>
        </w:rPr>
        <w:t>has been submitted to and preapproved by the Compliance Officer;</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0"/>
        </w:rPr>
        <w:t xml:space="preserve">includes a “Cooling Off Period” for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oSection 16 reporting persons that extends to the later of 90 days after adoption or modification of a Trading Plan or two business days after filing the Form 10-K or Form 10-Q covering the fiscal quarter in which the Trading Plan was adopted, up to a maximum of 120 days; and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oemployees and any other persons, other than the Company, that extends 30 days after adoption or modification of a Trading Plan; </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0"/>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r>
        <w:rPr>
          <w:color w:val="000000"/>
        </w:rPr>
        <w:t xml:space="preserve"> </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0"/>
        </w:rPr>
        <w:t xml:space="preserve">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 </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0"/>
        </w:rPr>
        <w:t>(1) either (a) specifies the amounts, prices, and dates of all transactions under the Trading Plan; or (b) provides a written formula, algorithm, or computer program for determining the amount, price, and date of the transactions, and (2) prohibits the individual from exercising any subsequent influence over the transactions; and</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0"/>
        </w:rPr>
        <w:t>complies with all other applicable requirements of Rule 10b5-1.</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and subject to preapproval by the Compliance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63880"/>
                <wp:effectExtent l="0" t="0" r="0" b="0"/>
                <wp:wrapNone/>
                <wp:docPr id="146" name="Frame143"/>
                <a:graphic xmlns:a="http://schemas.openxmlformats.org/drawingml/2006/main">
                  <a:graphicData uri="http://schemas.microsoft.com/office/word/2010/wordprocessingShape">
                    <wps:wsp>
                      <wps:cNvSpPr txBox="1"/>
                      <wps:spPr>
                        <a:xfrm>
                          <a:off x="0" y="0"/>
                          <a:ext cx="6480175" cy="56388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An individual may only modify a Trading Plan outside of a blackout period and, in any event, when the individual does not possess material nonpublic information. Modifications to and terminations of a Trading Plan are subject to preapproval by the Compliance Officer and modifications of a Trading Plan that change the amount, price, or timing of the purchase or sale of the securities underlying a Trading Plan will trigger a new Cooling-Off Period.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Compliance Officer or the Board of Directors, in his, her, or its discretion, determines that such suspension, discontinuation, or other prohibition is in the best interests of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 xml:space="preserve">Interpretation, Amendment, and Implementation of this Policy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Actions taken by the Company, the Compliance Officer, or any other Company personnel do not constitute legal advice, nor do they insulate you from the consequences of noncompliance with this Policy or with securities laws. </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Certification of Compliance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All directors, officers, employees, and others subject to this Policy may be asked periodically to certify their compliance with the terms and provisions of this Policy. </w:t>
      </w:r>
    </w:p>
    <w:p>
      <w:pPr>
        <w:pStyle w:val="TextBody"/>
        <w:bidi w:val="0"/>
        <w:spacing w:before="0" w:after="240"/>
        <w:jc w:val="both"/>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63880"/>
                <wp:effectExtent l="0" t="0" r="0" b="0"/>
                <wp:wrapNone/>
                <wp:docPr id="147" name="Frame144"/>
                <a:graphic xmlns:a="http://schemas.openxmlformats.org/drawingml/2006/main">
                  <a:graphicData uri="http://schemas.microsoft.com/office/word/2010/wordprocessingShape">
                    <wps:wsp>
                      <wps:cNvSpPr txBox="1"/>
                      <wps:spPr>
                        <a:xfrm>
                          <a:off x="0" y="0"/>
                          <a:ext cx="6480175" cy="56388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Subsidiaries of Omada Health, Inc.</w:t>
      </w:r>
    </w:p>
    <w:p>
      <w:pPr>
        <w:pStyle w:val="TextBody"/>
        <w:bidi w:val="0"/>
        <w:spacing w:before="0" w:after="160"/>
        <w:jc w:val="center"/>
        <w:rPr/>
      </w:pPr>
      <w:r>
        <w:rPr/>
      </w:r>
    </w:p>
    <w:tbl>
      <w:tblPr>
        <w:tblW w:w="3750" w:type="dxa"/>
        <w:jc w:val="left"/>
        <w:tblInd w:w="0" w:type="dxa"/>
        <w:tblLayout w:type="fixed"/>
        <w:tblCellMar>
          <w:top w:w="28" w:type="dxa"/>
          <w:left w:w="28" w:type="dxa"/>
          <w:bottom w:w="28" w:type="dxa"/>
          <w:right w:w="28" w:type="dxa"/>
        </w:tblCellMar>
      </w:tblPr>
      <w:tblGrid>
        <w:gridCol w:w="489"/>
        <w:gridCol w:w="428"/>
        <w:gridCol w:w="433"/>
        <w:gridCol w:w="702"/>
        <w:gridCol w:w="702"/>
        <w:gridCol w:w="996"/>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4"/>
                <w:u w:val="single"/>
              </w:rPr>
            </w:pPr>
            <w:r>
              <w:rPr>
                <w:rFonts w:ascii="Times New Roman;serif" w:hAnsi="Times New Roman;serif"/>
                <w:b/>
                <w:color w:val="000000"/>
                <w:sz w:val="24"/>
                <w:u w:val="single"/>
              </w:rPr>
              <w:t>Name</w:t>
            </w:r>
          </w:p>
        </w:tc>
        <w:tc>
          <w:tcPr>
            <w:tcW w:w="240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4"/>
                <w:u w:val="single"/>
              </w:rPr>
            </w:pPr>
            <w:r>
              <w:rPr>
                <w:rFonts w:ascii="Times New Roman;serif" w:hAnsi="Times New Roman;serif"/>
                <w:b/>
                <w:color w:val="000000"/>
                <w:sz w:val="24"/>
                <w:u w:val="single"/>
              </w:rPr>
              <w:t>State of Incorporation</w:t>
            </w:r>
          </w:p>
        </w:tc>
      </w:tr>
      <w:tr>
        <w:trPr/>
        <w:tc>
          <w:tcPr>
            <w:tcW w:w="13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Physera, Inc.</w:t>
            </w:r>
          </w:p>
        </w:tc>
        <w:tc>
          <w:tcPr>
            <w:tcW w:w="24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 333-287823 on Form S-8 of our report dated March 6, 2026 relating to the financial statements of Omada Health, Inc., appearing in the Annual Report on Form 10-K of Omada Health, Inc. for the year ended December 31, 2025.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San Francisco, California </w:t>
      </w:r>
    </w:p>
    <w:p>
      <w:pPr>
        <w:pStyle w:val="TextBody"/>
        <w:bidi w:val="0"/>
        <w:spacing w:lineRule="auto" w:line="501"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 Sean Duffy, certify that: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Omada Health, Inc.;</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20"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732"/>
        <w:gridCol w:w="732"/>
        <w:gridCol w:w="104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Sean Duffy</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333"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Steve Cook,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Omada Health,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35"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738"/>
        <w:gridCol w:w="738"/>
        <w:gridCol w:w="104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Cook</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Omada Health, Inc. (the “Company”) for the period ended December 31, 2025, as filed with the Securities and Exchange Commission on the date hereof (the “Report”), I certify, pursuant to 18 U.S.C. § 1350, as adopted pursuant to § 906 of the Sarbanes-Oxley Act of 2002, as amended, that, to the best of my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5020"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732"/>
        <w:gridCol w:w="732"/>
        <w:gridCol w:w="104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Sean Duffy</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Omada Health, Inc. (the “Company”) for the period ended December 31, 2025, as filed with the Securities and Exchange Commission on the date hereof (the “Report”), I certify, pursuant to 18 U.S.C. § 1350, as adopted pursuant to § 906 of the Sarbanes-Oxley Act of 2002, as amended, that, to the best of my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5035"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738"/>
        <w:gridCol w:w="738"/>
        <w:gridCol w:w="104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Cook</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97</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OMADA HEALTH, INC. </w:t>
        <w:br/>
        <w:t>POLICY FOR RECOVERY OF ERRONEOUSLY AWARDED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Omada Health,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adopted this Policy for Recovery of Erroneously Awarded Compensation (the “</w:t>
      </w:r>
      <w:r>
        <w:rPr>
          <w:rFonts w:ascii="Times New Roman;serif" w:hAnsi="Times New Roman;serif"/>
          <w:b/>
          <w:i/>
          <w:color w:val="000000"/>
          <w:sz w:val="20"/>
        </w:rPr>
        <w:t>Policy</w:t>
      </w:r>
      <w:r>
        <w:rPr>
          <w:color w:val="000000"/>
        </w:rPr>
        <w:t>”</w:t>
      </w:r>
      <w:r>
        <w:rPr>
          <w:rFonts w:ascii="Times New Roman;serif" w:hAnsi="Times New Roman;serif"/>
          <w:b w:val="false"/>
          <w:color w:val="000000"/>
          <w:sz w:val="20"/>
        </w:rPr>
        <w:t>), effective as of the date of effectiveness of the registration statement on Form S-1 to be filed with the Securities and Exchange Commission under the Securities Act of 1933, as amended, in connection with the Company’s initial public offering of its common stock (the “</w:t>
      </w:r>
      <w:r>
        <w:rPr>
          <w:rFonts w:ascii="Times New Roman;serif" w:hAnsi="Times New Roman;serif"/>
          <w:b/>
          <w:i/>
          <w:color w:val="000000"/>
          <w:sz w:val="20"/>
        </w:rPr>
        <w:t>Effective Date</w:t>
      </w:r>
      <w:r>
        <w:rPr>
          <w:color w:val="000000"/>
        </w:rPr>
        <w:t>”</w:t>
      </w:r>
      <w:r>
        <w:rPr>
          <w:rFonts w:ascii="Times New Roman;serif" w:hAnsi="Times New Roman;serif"/>
          <w:b w:val="false"/>
          <w:color w:val="000000"/>
          <w:sz w:val="20"/>
        </w:rPr>
        <w:t xml:space="preserve">). Capitalized terms used in this Policy but not otherwise defined in the text of this policy are defined in Section 11. </w:t>
      </w:r>
    </w:p>
    <w:p>
      <w:pPr>
        <w:pStyle w:val="TextBody"/>
        <w:bidi w:val="0"/>
        <w:spacing w:lineRule="auto" w:line="288" w:before="0" w:after="240"/>
        <w:ind w:left="0" w:right="0" w:hanging="720"/>
        <w:jc w:val="left"/>
        <w:rPr/>
      </w:pPr>
      <w:r>
        <w:rPr>
          <w:rFonts w:ascii="Times New Roman;serif" w:hAnsi="Times New Roman;serif"/>
          <w:b/>
          <w:color w:val="000000"/>
          <w:sz w:val="20"/>
        </w:rPr>
        <w:t>1.</w:t>
      </w:r>
      <w:r>
        <w:rPr>
          <w:rFonts w:ascii="Times New Roman;serif" w:hAnsi="Times New Roman;serif"/>
          <w:b/>
          <w:color w:val="000000"/>
          <w:sz w:val="20"/>
          <w:u w:val="single"/>
        </w:rPr>
        <w:t>Persons Subject to Policy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Policy shall apply to current and former Officers. Each Officer shall be required to sign an acknowledgement pursuant to which such Officer will agree to be bound by the terms of, and comply with, this Policy; however, any Officer’s failure to sign any such acknowledgement shall not negate the application of this Policy to the Officer.</w:t>
      </w:r>
    </w:p>
    <w:p>
      <w:pPr>
        <w:pStyle w:val="TextBody"/>
        <w:bidi w:val="0"/>
        <w:spacing w:lineRule="auto" w:line="288" w:before="0" w:after="240"/>
        <w:jc w:val="left"/>
        <w:rPr/>
      </w:pPr>
      <w:r>
        <w:rPr>
          <w:rFonts w:ascii="Times New Roman;serif" w:hAnsi="Times New Roman;serif"/>
          <w:b/>
          <w:color w:val="000000"/>
          <w:sz w:val="20"/>
        </w:rPr>
        <w:t>2.    </w:t>
      </w:r>
      <w:r>
        <w:rPr>
          <w:rFonts w:ascii="Times New Roman;serif" w:hAnsi="Times New Roman;serif"/>
          <w:b/>
          <w:color w:val="000000"/>
          <w:sz w:val="20"/>
          <w:u w:val="single"/>
        </w:rPr>
        <w:t>Compensation Subject to Policy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prior to or after the end of that period.</w:t>
      </w:r>
    </w:p>
    <w:p>
      <w:pPr>
        <w:pStyle w:val="TextBody"/>
        <w:bidi w:val="0"/>
        <w:spacing w:lineRule="auto" w:line="288" w:before="0" w:after="240"/>
        <w:jc w:val="both"/>
        <w:rPr/>
      </w:pPr>
      <w:r>
        <w:rPr>
          <w:rFonts w:ascii="Times New Roman;serif" w:hAnsi="Times New Roman;serif"/>
          <w:b/>
          <w:color w:val="000000"/>
          <w:sz w:val="20"/>
        </w:rPr>
        <w:t>3.    </w:t>
      </w:r>
      <w:r>
        <w:rPr>
          <w:rFonts w:ascii="Times New Roman;serif" w:hAnsi="Times New Roman;serif"/>
          <w:b/>
          <w:color w:val="000000"/>
          <w:sz w:val="20"/>
          <w:u w:val="single"/>
        </w:rPr>
        <w:t>Recovery of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the Company is required to prepare a Restatement, the Company shall recover, reasonably promptly, the portion of any Incentive-Based Compensation that is Erroneously Awarded Compensation, unless the Committee has determined that recovery from the relevant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288" w:before="0" w:after="240"/>
        <w:jc w:val="both"/>
        <w:rPr/>
      </w:pPr>
      <w:r>
        <w:rPr>
          <w:rFonts w:ascii="Times New Roman;serif" w:hAnsi="Times New Roman;serif"/>
          <w:b/>
          <w:color w:val="000000"/>
          <w:sz w:val="20"/>
        </w:rPr>
        <w:t>4.    </w:t>
      </w:r>
      <w:r>
        <w:rPr>
          <w:rFonts w:ascii="Times New Roman;serif" w:hAnsi="Times New Roman;serif"/>
          <w:b/>
          <w:color w:val="000000"/>
          <w:sz w:val="20"/>
          <w:u w:val="single"/>
        </w:rPr>
        <w:t>Manner of Recovery; Limitation on Duplicative Recovery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0" w:after="24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2560"/>
                <wp:effectExtent l="0" t="0" r="0" b="0"/>
                <wp:wrapNone/>
                <wp:docPr id="156" name="Frame15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0"/>
        </w:rPr>
        <w:t>5.    </w:t>
      </w:r>
      <w:r>
        <w:rPr>
          <w:rFonts w:ascii="Times New Roman;serif" w:hAnsi="Times New Roman;serif"/>
          <w:b/>
          <w:color w:val="000000"/>
          <w:sz w:val="20"/>
          <w:u w:val="single"/>
        </w:rPr>
        <w:t xml:space="preserve">Administration </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Policy shall be administered, interpreted and construed by the Committee, which is authorized to make all determinations necessary, appropriate or advisable for such purpose. The Board of Directors of the Company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xml:space="preserve">)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 holders and employees. The Committee may delegate administrative duties with respect to this Policy to one or more directors or employees of the Company, as permitted under applicable law, including any Applicable Rules. </w:t>
      </w:r>
    </w:p>
    <w:p>
      <w:pPr>
        <w:pStyle w:val="TextBody"/>
        <w:bidi w:val="0"/>
        <w:spacing w:lineRule="auto" w:line="288" w:before="0" w:after="240"/>
        <w:jc w:val="both"/>
        <w:rPr/>
      </w:pPr>
      <w:r>
        <w:rPr>
          <w:rFonts w:ascii="Times New Roman;serif" w:hAnsi="Times New Roman;serif"/>
          <w:b/>
          <w:color w:val="000000"/>
          <w:sz w:val="20"/>
        </w:rPr>
        <w:t>6.    </w:t>
      </w:r>
      <w:r>
        <w:rPr>
          <w:rFonts w:ascii="Times New Roman;serif" w:hAnsi="Times New Roman;serif"/>
          <w:b/>
          <w:color w:val="000000"/>
          <w:sz w:val="20"/>
          <w:u w:val="single"/>
        </w:rPr>
        <w:t>Interpretation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 </w:t>
      </w:r>
    </w:p>
    <w:p>
      <w:pPr>
        <w:pStyle w:val="TextBody"/>
        <w:bidi w:val="0"/>
        <w:spacing w:lineRule="auto" w:line="288" w:before="0" w:after="240"/>
        <w:jc w:val="both"/>
        <w:rPr/>
      </w:pPr>
      <w:r>
        <w:rPr>
          <w:rFonts w:ascii="Times New Roman;serif" w:hAnsi="Times New Roman;serif"/>
          <w:b/>
          <w:color w:val="000000"/>
          <w:sz w:val="20"/>
        </w:rPr>
        <w:t>7.    </w:t>
      </w:r>
      <w:r>
        <w:rPr>
          <w:rFonts w:ascii="Times New Roman;serif" w:hAnsi="Times New Roman;serif"/>
          <w:b/>
          <w:color w:val="000000"/>
          <w:sz w:val="20"/>
          <w:u w:val="single"/>
        </w:rPr>
        <w:t>No Indemnification; No Personal Liability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terms of any insurance policy or any contractual arrangement with any Officer that may provide or be interpreted to the contrary, 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pStyle w:val="TextBody"/>
        <w:bidi w:val="0"/>
        <w:spacing w:lineRule="auto" w:line="288" w:before="0" w:after="240"/>
        <w:jc w:val="both"/>
        <w:rPr/>
      </w:pPr>
      <w:r>
        <w:rPr>
          <w:rFonts w:ascii="Times New Roman;serif" w:hAnsi="Times New Roman;serif"/>
          <w:b/>
          <w:color w:val="000000"/>
          <w:sz w:val="20"/>
        </w:rPr>
        <w:t>8.    </w:t>
      </w:r>
      <w:r>
        <w:rPr>
          <w:rFonts w:ascii="Times New Roman;serif" w:hAnsi="Times New Roman;serif"/>
          <w:b/>
          <w:color w:val="000000"/>
          <w:sz w:val="20"/>
          <w:u w:val="single"/>
        </w:rPr>
        <w:t>Application; Enforceability</w:t>
      </w:r>
    </w:p>
    <w:p>
      <w:pPr>
        <w:pStyle w:val="TextBody"/>
        <w:bidi w:val="0"/>
        <w:spacing w:lineRule="auto" w:line="288" w:before="0" w:after="240"/>
        <w:ind w:left="0" w:right="0" w:firstLine="720"/>
        <w:jc w:val="both"/>
        <w:rPr/>
      </w:pPr>
      <w:r>
        <w:rPr>
          <w:rFonts w:ascii="Times New Roman;serif" w:hAnsi="Times New Roman;serif"/>
          <w:b w:val="false"/>
          <w:color w:val="000000"/>
          <w:sz w:val="20"/>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erif" w:hAnsi="Times New Roman;serif"/>
          <w:b/>
          <w:i/>
          <w:color w:val="000000"/>
          <w:sz w:val="20"/>
        </w:rPr>
        <w:t>Other Recovery Arrangements</w:t>
      </w:r>
      <w:r>
        <w:rPr>
          <w:color w:val="000000"/>
        </w:rPr>
        <w:t>”</w:t>
      </w:r>
      <w:r>
        <w:rPr>
          <w:rFonts w:ascii="Times New Roman;serif" w:hAnsi="Times New Roman;serif"/>
          <w:b w:val="false"/>
          <w:color w:val="000000"/>
          <w:sz w:val="20"/>
        </w:rPr>
        <w:t>). The remedy specified in this Policy shall not be exclusive and shall be in addition to every other right or remedy at law or in equity that may be available to the Company or an affiliate of the Company.</w:t>
      </w:r>
    </w:p>
    <w:p>
      <w:pPr>
        <w:pStyle w:val="TextBody"/>
        <w:bidi w:val="0"/>
        <w:spacing w:lineRule="auto" w:line="288" w:before="0" w:after="240"/>
        <w:jc w:val="both"/>
        <w:rPr/>
      </w:pPr>
      <w:r>
        <w:rPr>
          <w:rFonts w:ascii="Times New Roman;serif" w:hAnsi="Times New Roman;serif"/>
          <w:b/>
          <w:color w:val="000000"/>
          <w:sz w:val="20"/>
        </w:rPr>
        <w:t>9.    </w:t>
      </w:r>
      <w:r>
        <w:rPr>
          <w:rFonts w:ascii="Times New Roman;serif" w:hAnsi="Times New Roman;serif"/>
          <w:b/>
          <w:color w:val="000000"/>
          <w:sz w:val="20"/>
          <w:u w:val="single"/>
        </w:rPr>
        <w:t>Severability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lineRule="auto" w:line="288" w:before="0" w:after="240"/>
        <w:jc w:val="both"/>
        <w:rPr/>
      </w:pPr>
      <w:r>
        <w:rPr>
          <w:rFonts w:ascii="Times New Roman;serif" w:hAnsi="Times New Roman;serif"/>
          <w:b/>
          <w:color w:val="000000"/>
          <w:sz w:val="20"/>
        </w:rPr>
        <w:t>10.    </w:t>
      </w:r>
      <w:r>
        <w:rPr>
          <w:rFonts w:ascii="Times New Roman;serif" w:hAnsi="Times New Roman;serif"/>
          <w:b/>
          <w:color w:val="000000"/>
          <w:sz w:val="20"/>
          <w:u w:val="single"/>
        </w:rPr>
        <w:t>Amendment and Termination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before="0" w:after="16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480060"/>
                <wp:effectExtent l="0" t="0" r="0" b="0"/>
                <wp:wrapNone/>
                <wp:docPr id="157" name="Frame154"/>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pPr>
      <w:r>
        <w:rPr>
          <w:rFonts w:ascii="Times New Roman;serif" w:hAnsi="Times New Roman;serif"/>
          <w:b/>
          <w:color w:val="000000"/>
          <w:sz w:val="20"/>
        </w:rPr>
        <w:t>11.    </w:t>
      </w:r>
      <w:r>
        <w:rPr>
          <w:rFonts w:ascii="Times New Roman;serif" w:hAnsi="Times New Roman;serif"/>
          <w:b/>
          <w:color w:val="000000"/>
          <w:sz w:val="20"/>
          <w:u w:val="single"/>
        </w:rPr>
        <w:t>Definitions</w:t>
      </w:r>
    </w:p>
    <w:p>
      <w:pPr>
        <w:pStyle w:val="TextBody"/>
        <w:bidi w:val="0"/>
        <w:spacing w:lineRule="auto" w:line="300" w:before="0" w:after="160"/>
        <w:jc w:val="both"/>
        <w:rPr/>
      </w:pPr>
      <w:r>
        <w:rPr>
          <w:color w:val="000000"/>
        </w:rPr>
        <w:t>    “</w:t>
      </w:r>
      <w:r>
        <w:rPr>
          <w:rFonts w:ascii="Times New Roman;serif" w:hAnsi="Times New Roman;serif"/>
          <w:b/>
          <w:i/>
          <w:color w:val="000000"/>
          <w:sz w:val="20"/>
        </w:rPr>
        <w:t>Applicable Rules</w:t>
      </w:r>
      <w:r>
        <w:rPr>
          <w:color w:val="000000"/>
        </w:rPr>
        <w:t xml:space="preserve">” </w:t>
      </w:r>
      <w:r>
        <w:rPr>
          <w:rFonts w:ascii="Times New Roman;serif" w:hAnsi="Times New Roman;serif"/>
          <w:b w:val="false"/>
          <w:color w:val="000000"/>
          <w:sz w:val="20"/>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Committee</w:t>
      </w:r>
      <w:r>
        <w:rPr>
          <w:color w:val="000000"/>
        </w:rPr>
        <w:t xml:space="preserve">” </w:t>
      </w:r>
      <w:r>
        <w:rPr>
          <w:rFonts w:ascii="Times New Roman;serif" w:hAnsi="Times New Roman;serif"/>
          <w:b w:val="false"/>
          <w:color w:val="000000"/>
          <w:sz w:val="20"/>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Erroneously Awarded Compensation</w:t>
      </w:r>
      <w:r>
        <w:rPr>
          <w:color w:val="000000"/>
        </w:rPr>
        <w:t xml:space="preserve">” </w:t>
      </w:r>
      <w:r>
        <w:rPr>
          <w:rFonts w:ascii="Times New Roman;serif" w:hAnsi="Times New Roman;serif"/>
          <w:b w:val="false"/>
          <w:color w:val="000000"/>
          <w:sz w:val="20"/>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For Incentive-Based Compensation based on total stockholder return or stock price, where the amount of Erroneously Awarded Compensation is not subject to mathematical recalculation directly from the information in the Restatement, Erroneously Awarded Compensation is the Committee’s reasonable estimate of the effect of the Restatement on the total stockholder return or stock price upon which the Incentive-Based Compensation was received, consistent with any documentation of the determination of such reasonable estimate provided by the Company to the applicable listing exchange or association.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Financial Reporting Measure</w:t>
      </w:r>
      <w:r>
        <w:rPr>
          <w:color w:val="000000"/>
        </w:rPr>
        <w:t xml:space="preserve">” </w:t>
      </w:r>
      <w:r>
        <w:rPr>
          <w:rFonts w:ascii="Times New Roman;serif" w:hAnsi="Times New Roman;serif"/>
          <w:b w:val="false"/>
          <w:color w:val="000000"/>
          <w:sz w:val="20"/>
        </w:rPr>
        <w:t xml:space="preserve">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GAAP</w:t>
      </w:r>
      <w:r>
        <w:rPr>
          <w:color w:val="000000"/>
        </w:rPr>
        <w:t xml:space="preserve">” </w:t>
      </w:r>
      <w:r>
        <w:rPr>
          <w:rFonts w:ascii="Times New Roman;serif" w:hAnsi="Times New Roman;serif"/>
          <w:b w:val="false"/>
          <w:color w:val="000000"/>
          <w:sz w:val="20"/>
        </w:rPr>
        <w:t>means United States generally accepted accounting principles.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IFRS</w:t>
      </w:r>
      <w:r>
        <w:rPr>
          <w:color w:val="000000"/>
        </w:rPr>
        <w:t xml:space="preserve">” </w:t>
      </w:r>
      <w:r>
        <w:rPr>
          <w:rFonts w:ascii="Times New Roman;serif" w:hAnsi="Times New Roman;serif"/>
          <w:b w:val="false"/>
          <w:color w:val="000000"/>
          <w:sz w:val="20"/>
        </w:rPr>
        <w:t>means international financial reporting standards as adopted by the International Accounting Standards Board.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Impracticable</w:t>
      </w:r>
      <w:r>
        <w:rPr>
          <w:color w:val="000000"/>
        </w:rPr>
        <w:t xml:space="preserve">” </w:t>
      </w:r>
      <w:r>
        <w:rPr>
          <w:rFonts w:ascii="Times New Roman;serif" w:hAnsi="Times New Roman;serif"/>
          <w:b w:val="false"/>
          <w:color w:val="000000"/>
          <w:sz w:val="20"/>
        </w:rPr>
        <w:t>means that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Incentive-Based Compensation</w:t>
      </w:r>
      <w:r>
        <w:rPr>
          <w:color w:val="000000"/>
        </w:rPr>
        <w:t xml:space="preserve">” </w:t>
      </w:r>
      <w:r>
        <w:rPr>
          <w:rFonts w:ascii="Times New Roman;serif" w:hAnsi="Times New Roman;serif"/>
          <w:b w:val="false"/>
          <w:color w:val="000000"/>
          <w:sz w:val="20"/>
        </w:rPr>
        <w:t xml:space="preserve">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securities listed on a national securities exchange or association; and (d) during the applicable Three-Year Period.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Officer</w:t>
      </w:r>
      <w:r>
        <w:rPr>
          <w:color w:val="000000"/>
        </w:rPr>
        <w:t xml:space="preserve">” </w:t>
      </w:r>
      <w:r>
        <w:rPr>
          <w:rFonts w:ascii="Times New Roman;serif" w:hAnsi="Times New Roman;serif"/>
          <w:b w:val="false"/>
          <w:color w:val="000000"/>
          <w:sz w:val="20"/>
        </w:rPr>
        <w:t>means each person who serves as an executive officer of the Company, as defined in Rule 10D-1(d) under the Exchange Act.</w:t>
      </w:r>
    </w:p>
    <w:p>
      <w:pPr>
        <w:pStyle w:val="TextBody"/>
        <w:bidi w:val="0"/>
        <w:spacing w:before="0" w:after="16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480060"/>
                <wp:effectExtent l="0" t="0" r="0" b="0"/>
                <wp:wrapNone/>
                <wp:docPr id="158" name="Frame155"/>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Restatement</w:t>
      </w:r>
      <w:r>
        <w:rPr>
          <w:color w:val="000000"/>
        </w:rPr>
        <w:t xml:space="preserve">” </w:t>
      </w:r>
      <w:r>
        <w:rPr>
          <w:rFonts w:ascii="Times New Roman;serif" w:hAnsi="Times New Roman;serif"/>
          <w:b w:val="false"/>
          <w:color w:val="000000"/>
          <w:sz w:val="20"/>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0"/>
        </w:rPr>
        <w:t>Three-Year Period</w:t>
      </w:r>
      <w:r>
        <w:rPr>
          <w:color w:val="000000"/>
        </w:rPr>
        <w:t xml:space="preserve">” </w:t>
      </w:r>
      <w:r>
        <w:rPr>
          <w:rFonts w:ascii="Times New Roman;serif" w:hAnsi="Times New Roman;serif"/>
          <w:b w:val="false"/>
          <w:color w:val="000000"/>
          <w:sz w:val="20"/>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97</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480060"/>
                <wp:effectExtent l="0" t="0" r="0" b="0"/>
                <wp:wrapNone/>
                <wp:docPr id="159" name="Frame156"/>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419.75pt;mso-position-horizontal:left;mso-position-horizontal-relative:text">
                <v:textbo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0"/>
        </w:rPr>
        <w:t>FORM OF</w:t>
      </w:r>
      <w:r>
        <w:rPr>
          <w:color w:val="000000"/>
        </w:rPr>
        <w:t xml:space="preserve"> </w:t>
      </w:r>
      <w:r>
        <w:rPr>
          <w:rFonts w:ascii="Times New Roman;serif" w:hAnsi="Times New Roman;serif"/>
          <w:b/>
          <w:color w:val="000000"/>
          <w:sz w:val="20"/>
        </w:rPr>
        <w:t>ACKNOWLEDGMENT AGREEMENT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PERTAINING TO THE OMADA HEALTH, INC. POLICY FOR RECOVERY OF ERRONEOUSLY AWARDED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consideration of, and as a condition to, the receipt of future cash and equity incentive compensation from Omada Health,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_________________ (“</w:t>
      </w:r>
      <w:r>
        <w:rPr>
          <w:rFonts w:ascii="Times New Roman;serif" w:hAnsi="Times New Roman;serif"/>
          <w:b/>
          <w:i/>
          <w:color w:val="000000"/>
          <w:sz w:val="20"/>
        </w:rPr>
        <w:t>Executive</w:t>
      </w:r>
      <w:r>
        <w:rPr>
          <w:color w:val="000000"/>
        </w:rPr>
        <w:t>”</w:t>
      </w:r>
      <w:r>
        <w:rPr>
          <w:rFonts w:ascii="Times New Roman;serif" w:hAnsi="Times New Roman;serif"/>
          <w:b w:val="false"/>
          <w:color w:val="000000"/>
          <w:sz w:val="20"/>
        </w:rPr>
        <w:t xml:space="preserve">) and the Company are entering into this Acknowledgment Agreement. </w:t>
      </w:r>
    </w:p>
    <w:p>
      <w:pPr>
        <w:pStyle w:val="TextBody"/>
        <w:bidi w:val="0"/>
        <w:spacing w:lineRule="auto" w:line="288" w:before="0" w:after="240"/>
        <w:ind w:left="0" w:right="0" w:hanging="360"/>
        <w:jc w:val="both"/>
        <w:rPr/>
      </w:pPr>
      <w:r>
        <w:rPr>
          <w:rFonts w:ascii="Times New Roman;serif" w:hAnsi="Times New Roman;serif"/>
          <w:b w:val="false"/>
          <w:color w:val="000000"/>
          <w:sz w:val="20"/>
        </w:rPr>
        <w:t>1.Executive agrees that compensation received by Executive may be subject to reduction, cancellation, forfeiture and/or recoupment to the extent necessary to comply with (a) the Policy for Recovery of Erroneously Awarded Compensation adopted by the Board of Directors of the Company (as amended from time to time, the “</w:t>
      </w:r>
      <w:r>
        <w:rPr>
          <w:rFonts w:ascii="Times New Roman;serif" w:hAnsi="Times New Roman;serif"/>
          <w:b/>
          <w:i/>
          <w:color w:val="000000"/>
          <w:sz w:val="20"/>
        </w:rPr>
        <w:t>Policy</w:t>
      </w:r>
      <w:r>
        <w:rPr>
          <w:color w:val="000000"/>
        </w:rPr>
        <w:t>”</w:t>
      </w:r>
      <w:r>
        <w:rPr>
          <w:rFonts w:ascii="Times New Roman;serif" w:hAnsi="Times New Roman;serif"/>
          <w:b w:val="false"/>
          <w:color w:val="000000"/>
          <w:sz w:val="20"/>
        </w:rPr>
        <w:t xml:space="preserve">), and (b) any Other Recovery Arrangements (as defined in the Policy). Executive acknowledges that Executive has received and has had an opportunity to review the Policy and any Other Recovery Arrangements applicable to Executive.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2.Executive acknowledges and agrees to the terms of the Policy and any Other Recovery Arrangements, including that any compensation received by Executive shall be subject to and conditioned upon the provisions of the Policy and any Other Recovery Arrangements applicable to Executive.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3.Executive further acknowledges and agrees that Executive is not entitled to indemnification in connection with any enforcement of the Policy or any Other Recovery Arrangements applicable to Executive and expressly waives any rights to such indemnification under the Company’s organizational documents or otherwise.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4.Executive agrees to take all actions requested by the Company in order to enable or facilitate the enforcement of the Policy and any Other Recovery Arrangements applicable to Executive (including, without limitation, any reduction, cancellation, forfeiture or recoupment of any compensation that Executive has received or to which Executive may become entitled).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5.To the extent any recovery right under the Policy and any Other Recovery Arrangements applicable to Executive conflicts with any other contractual rights Executive may have with the Company or any affiliate, Executive understands that the terms of the Policy and the Other Recovery Arrangements shall supersede any such contractual rights. Executive agrees that no recovery of compensation under the Policy and the Other Recovery Arrangements will be an event that triggers or contributes to any right of Executive to resign for “good reason” or “constructive termination” (or similar term) under any agreement with the Company or any affiliate.</w:t>
      </w:r>
    </w:p>
    <w:p>
      <w:pPr>
        <w:pStyle w:val="TextBody"/>
        <w:bidi w:val="0"/>
        <w:spacing w:before="0" w:after="240"/>
        <w:ind w:left="0" w:right="0" w:firstLine="720"/>
        <w:jc w:val="both"/>
        <w:rPr/>
      </w:pPr>
      <w:r>
        <w:rPr/>
      </w:r>
    </w:p>
    <w:p>
      <w:pPr>
        <w:pStyle w:val="TextBody"/>
        <w:bidi w:val="0"/>
        <w:spacing w:lineRule="auto" w:line="300" w:before="0" w:after="160"/>
        <w:jc w:val="both"/>
        <w:rPr>
          <w:color w:val="000000"/>
          <w:shd w:fill="FFFFFF" w:val="clear"/>
        </w:rPr>
      </w:pPr>
      <w:r>
        <w:rPr>
          <w:color w:val="000000"/>
          <w:shd w:fill="FFFFFF" w:val="clear"/>
        </w:rPr>
        <w:t> </w:t>
      </w:r>
    </w:p>
    <w:p>
      <w:pPr>
        <w:pStyle w:val="TextBody"/>
        <w:bidi w:val="0"/>
        <w:spacing w:before="0" w:after="160"/>
        <w:jc w:val="both"/>
        <w:rPr/>
      </w:pPr>
      <w:r>
        <w:rPr/>
      </w:r>
    </w:p>
    <w:tbl>
      <w:tblPr>
        <w:tblW w:w="1246" w:type="dxa"/>
        <w:jc w:val="left"/>
        <w:tblInd w:w="0" w:type="dxa"/>
        <w:tblLayout w:type="fixed"/>
        <w:tblCellMar>
          <w:top w:w="28" w:type="dxa"/>
          <w:left w:w="28" w:type="dxa"/>
          <w:bottom w:w="28" w:type="dxa"/>
          <w:right w:w="28" w:type="dxa"/>
        </w:tblCellMar>
      </w:tblPr>
      <w:tblGrid>
        <w:gridCol w:w="399"/>
        <w:gridCol w:w="350"/>
        <w:gridCol w:w="497"/>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EXECUTIVE</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tc>
      </w:tr>
      <w:tr>
        <w:trPr/>
        <w:tc>
          <w:tcPr>
            <w:tcW w:w="12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(Print Name)</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452120"/>
                <wp:effectExtent l="0" t="0" r="0" b="0"/>
                <wp:wrapNone/>
                <wp:docPr id="160" name="Frame15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160"/>
                        <w:jc w:val="left"/>
                        <w:rPr/>
                      </w:pPr>
                      <w:r>
                        <w:rPr/>
                      </w:r>
                    </w:p>
                  </w:txbxContent>
                </v:textbox>
                <w10:wrap type="none"/>
              </v:rect>
            </w:pict>
          </mc:Fallback>
        </mc:AlternateContent>
      </w:r>
    </w:p>
    <w:tbl>
      <w:tblPr>
        <w:tblW w:w="674" w:type="dxa"/>
        <w:jc w:val="left"/>
        <w:tblInd w:w="0" w:type="dxa"/>
        <w:tblLayout w:type="fixed"/>
        <w:tblCellMar>
          <w:top w:w="28" w:type="dxa"/>
          <w:left w:w="28" w:type="dxa"/>
          <w:bottom w:w="28" w:type="dxa"/>
          <w:right w:w="28" w:type="dxa"/>
        </w:tblCellMar>
      </w:tblPr>
      <w:tblGrid>
        <w:gridCol w:w="216"/>
        <w:gridCol w:w="189"/>
        <w:gridCol w:w="269"/>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(Title)</w:t>
            </w:r>
          </w:p>
        </w:tc>
      </w:tr>
    </w:tbl>
    <w:p>
      <w:pPr>
        <w:pStyle w:val="TextBody"/>
        <w:bidi w:val="0"/>
        <w:spacing w:before="0" w:after="0"/>
        <w:jc w:val="left"/>
        <w:rPr/>
      </w:pPr>
      <w:r>
        <w:rPr/>
      </w:r>
    </w:p>
    <w:tbl>
      <w:tblPr>
        <w:tblW w:w="659" w:type="dxa"/>
        <w:jc w:val="left"/>
        <w:tblInd w:w="0" w:type="dxa"/>
        <w:tblLayout w:type="fixed"/>
        <w:tblCellMar>
          <w:top w:w="28" w:type="dxa"/>
          <w:left w:w="28" w:type="dxa"/>
          <w:bottom w:w="28" w:type="dxa"/>
          <w:right w:w="28" w:type="dxa"/>
        </w:tblCellMar>
      </w:tblPr>
      <w:tblGrid>
        <w:gridCol w:w="211"/>
        <w:gridCol w:w="185"/>
        <w:gridCol w:w="263"/>
      </w:tblGrid>
      <w:tr>
        <w:trPr/>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OMADA HEALTH, INC.</w:t>
      </w:r>
    </w:p>
    <w:p>
      <w:pPr>
        <w:pStyle w:val="TextBody"/>
        <w:bidi w:val="0"/>
        <w:spacing w:before="0" w:after="0"/>
        <w:jc w:val="left"/>
        <w:rPr/>
      </w:pPr>
      <w:r>
        <w:rPr/>
      </w:r>
    </w:p>
    <w:tbl>
      <w:tblPr>
        <w:tblW w:w="1185" w:type="dxa"/>
        <w:jc w:val="left"/>
        <w:tblInd w:w="0" w:type="dxa"/>
        <w:tblLayout w:type="fixed"/>
        <w:tblCellMar>
          <w:top w:w="28" w:type="dxa"/>
          <w:left w:w="28" w:type="dxa"/>
          <w:bottom w:w="28" w:type="dxa"/>
          <w:right w:w="28" w:type="dxa"/>
        </w:tblCellMar>
      </w:tblPr>
      <w:tblGrid>
        <w:gridCol w:w="380"/>
        <w:gridCol w:w="333"/>
        <w:gridCol w:w="472"/>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tc>
      </w:tr>
      <w:tr>
        <w:trPr/>
        <w:tc>
          <w:tcPr>
            <w:tcW w:w="118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(Print Name)</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18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480060"/>
                <wp:effectExtent l="0" t="0" r="0" b="0"/>
                <wp:wrapNone/>
                <wp:docPr id="161" name="Frame158"/>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11115/000119312525137809/d24316dex31.htm" TargetMode="External"/><Relationship Id="rId4" Type="http://schemas.openxmlformats.org/officeDocument/2006/relationships/hyperlink" Target="https://www.sec.gov/Archives/edgar/data/1611115/000119312525137809/d24316dex32.htm" TargetMode="External"/><Relationship Id="rId5" Type="http://schemas.openxmlformats.org/officeDocument/2006/relationships/hyperlink" Target="https://www.sec.gov/Archives/edgar/data/1611115/000119312525116907/d785770dex42.htm" TargetMode="External"/><Relationship Id="rId6" Type="http://schemas.openxmlformats.org/officeDocument/2006/relationships/hyperlink" Target="https://www.sec.gov/Archives/edgar/data/1611115/000119312525116907/d785770dex43.htm" TargetMode="External"/><Relationship Id="rId7" Type="http://schemas.openxmlformats.org/officeDocument/2006/relationships/hyperlink" Target="https://www.sec.gov/Archives/edgar/data/1611115/000119312525116907/d785770dex103a.htm" TargetMode="External"/><Relationship Id="rId8" Type="http://schemas.openxmlformats.org/officeDocument/2006/relationships/hyperlink" Target="https://www.sec.gov/Archives/edgar/data/1611115/000119312525116907/d785770dex103b.htm" TargetMode="External"/><Relationship Id="rId9" Type="http://schemas.openxmlformats.org/officeDocument/2006/relationships/hyperlink" Target="https://www.sec.gov/Archives/edgar/data/1611115/000119312525116907/d785770dex104a.htm" TargetMode="External"/><Relationship Id="rId10" Type="http://schemas.openxmlformats.org/officeDocument/2006/relationships/hyperlink" Target="https://www.sec.gov/Archives/edgar/data/1611115/000119312525116907/d785770dex104a.htm" TargetMode="External"/><Relationship Id="rId11" Type="http://schemas.openxmlformats.org/officeDocument/2006/relationships/hyperlink" Target="https://www.sec.gov/Archives/edgar/data/1611115/000119312525116907/d785770dex104a.htm" TargetMode="External"/><Relationship Id="rId12" Type="http://schemas.openxmlformats.org/officeDocument/2006/relationships/hyperlink" Target="https://www.sec.gov/Archives/edgar/data/1611115/000119312525116907/d785770dex104b.htm" TargetMode="External"/><Relationship Id="rId13" Type="http://schemas.openxmlformats.org/officeDocument/2006/relationships/hyperlink" Target="https://www.sec.gov/Archives/edgar/data/1611115/000119312525116907/d785770dex104b.htm" TargetMode="External"/><Relationship Id="rId14" Type="http://schemas.openxmlformats.org/officeDocument/2006/relationships/hyperlink" Target="https://www.sec.gov/Archives/edgar/data/1611115/000119312525116907/d785770dex104b.htm" TargetMode="External"/><Relationship Id="rId15" Type="http://schemas.openxmlformats.org/officeDocument/2006/relationships/hyperlink" Target="https://www.sec.gov/Archives/edgar/data/1611115/000119312525116907/d785770dex104b.htm" TargetMode="External"/><Relationship Id="rId16" Type="http://schemas.openxmlformats.org/officeDocument/2006/relationships/hyperlink" Target="https://www.sec.gov/Archives/edgar/data/1611115/000119312525116907/d785770dex104c.htm" TargetMode="External"/><Relationship Id="rId17" Type="http://schemas.openxmlformats.org/officeDocument/2006/relationships/hyperlink" Target="https://www.sec.gov/Archives/edgar/data/1611115/000119312525116907/d785770dex105a.htm" TargetMode="External"/><Relationship Id="rId18" Type="http://schemas.openxmlformats.org/officeDocument/2006/relationships/hyperlink" Target="https://www.sec.gov/Archives/edgar/data/1611115/000119312525116907/d785770dex105b.htm" TargetMode="External"/><Relationship Id="rId19" Type="http://schemas.openxmlformats.org/officeDocument/2006/relationships/hyperlink" Target="https://www.sec.gov/Archives/edgar/data/1611115/000119312525116907/d785770dex105c.htm" TargetMode="External"/><Relationship Id="rId20" Type="http://schemas.openxmlformats.org/officeDocument/2006/relationships/hyperlink" Target="https://www.sec.gov/Archives/edgar/data/1611115/000119312525116907/d785770dex106.htm" TargetMode="External"/><Relationship Id="rId21" Type="http://schemas.openxmlformats.org/officeDocument/2006/relationships/hyperlink" Target="https://www.sec.gov/Archives/edgar/data/1611115/000161111525000017/omda-ex105axancillaryservi.htm" TargetMode="External"/><Relationship Id="rId22" Type="http://schemas.openxmlformats.org/officeDocument/2006/relationships/hyperlink" Target="https://www.sec.gov/Archives/edgar/data/1611115/000119312525116907/d785770dex107b.htm" TargetMode="External"/><Relationship Id="rId23" Type="http://schemas.openxmlformats.org/officeDocument/2006/relationships/hyperlink" Target="https://www.sec.gov/Archives/edgar/data/1611115/000119312525116907/d785770dex107c.htm" TargetMode="External"/><Relationship Id="rId24" Type="http://schemas.openxmlformats.org/officeDocument/2006/relationships/hyperlink" Target="https://www.sec.gov/Archives/edgar/data/1611115/000119312525116907/d785770dex107d.htm" TargetMode="External"/><Relationship Id="rId25" Type="http://schemas.openxmlformats.org/officeDocument/2006/relationships/hyperlink" Target="https://www.sec.gov/Archives/edgar/data/1611115/000119312525129904/d785770dex107e.htm" TargetMode="External"/><Relationship Id="rId26" Type="http://schemas.openxmlformats.org/officeDocument/2006/relationships/hyperlink" Target="https://www.sec.gov/Archives/edgar/data/1611115/000119312525116907/d785770dex108a.htm" TargetMode="External"/><Relationship Id="rId27" Type="http://schemas.openxmlformats.org/officeDocument/2006/relationships/hyperlink" Target="https://www.sec.gov/Archives/edgar/data/1611115/000119312525116907/d785770dex108a.htm" TargetMode="External"/><Relationship Id="rId28" Type="http://schemas.openxmlformats.org/officeDocument/2006/relationships/hyperlink" Target="https://www.sec.gov/Archives/edgar/data/1611115/000119312525129904/d785770dex108b.htm" TargetMode="External"/><Relationship Id="rId29" Type="http://schemas.openxmlformats.org/officeDocument/2006/relationships/hyperlink" Target="https://www.sec.gov/Archives/edgar/data/1611115/000119312525129904/d785770dex108b.htm" TargetMode="External"/><Relationship Id="rId30" Type="http://schemas.openxmlformats.org/officeDocument/2006/relationships/hyperlink" Target="https://www.sec.gov/Archives/edgar/data/1611115/000119312525129904/d785770dex109a.htm" TargetMode="External"/><Relationship Id="rId31" Type="http://schemas.openxmlformats.org/officeDocument/2006/relationships/hyperlink" Target="https://www.sec.gov/Archives/edgar/data/1611115/000119312525129904/d785770dex109a.htm" TargetMode="External"/><Relationship Id="rId32" Type="http://schemas.openxmlformats.org/officeDocument/2006/relationships/hyperlink" Target="https://www.sec.gov/Archives/edgar/data/1611115/000119312525129904/d785770dex109a.htm" TargetMode="External"/><Relationship Id="rId33" Type="http://schemas.openxmlformats.org/officeDocument/2006/relationships/hyperlink" Target="https://www.sec.gov/Archives/edgar/data/1611115/000119312525116907/d785770dex109b.htm" TargetMode="External"/><Relationship Id="rId34" Type="http://schemas.openxmlformats.org/officeDocument/2006/relationships/hyperlink" Target="https://www.sec.gov/Archives/edgar/data/1611115/000162828025050622/omadanon-employeedirectorc.htm" TargetMode="External"/><Relationship Id="rId35" Type="http://schemas.openxmlformats.org/officeDocument/2006/relationships/hyperlink" Target="https://www.sec.gov/Archives/edgar/data/1611115/000119312525129904/d785770dex1010.htm" TargetMode="External"/><Relationship Id="rId36" Type="http://schemas.openxmlformats.org/officeDocument/2006/relationships/hyperlink" Target="https://www.sec.gov/Archives/edgar/data/1611115/000119312525129904/d785770dex1010.htm" TargetMode="External"/><Relationship Id="rId37" Type="http://schemas.openxmlformats.org/officeDocument/2006/relationships/hyperlink" Target="https://www.sec.gov/Archives/edgar/data/1611115/000119312525116907/d785770dex1012.htm" TargetMode="External"/><Relationship Id="rId38" Type="http://schemas.openxmlformats.org/officeDocument/2006/relationships/hyperlink" Target="https://www.sec.gov/Archives/edgar/data/1611115/000119312525116907/d785770dex1012.htm" TargetMode="External"/><Relationship Id="rId39" Type="http://schemas.openxmlformats.org/officeDocument/2006/relationships/hyperlink" Target="https://www.sec.gov/Archives/edgar/data/1611115/000119312525116907/d785770dex1012.htm" TargetMode="External"/><Relationship Id="rId40" Type="http://schemas.openxmlformats.org/officeDocument/2006/relationships/hyperlink" Target="https://www.sec.gov/Archives/edgar/data/1611115/000119312525116907/d785770dex1012.htm" TargetMode="External"/><Relationship Id="rId41" Type="http://schemas.openxmlformats.org/officeDocument/2006/relationships/hyperlink" Target="https://www.sec.gov/Archives/edgar/data/1611115/000119312525116907/d785770dex1012.htm" TargetMode="External"/><Relationship Id="rId42" Type="http://schemas.openxmlformats.org/officeDocument/2006/relationships/hyperlink" Target="https://www.sec.gov/Archives/edgar/data/1611115/000119312525116907/d785770dex1013.htm" TargetMode="External"/><Relationship Id="rId43" Type="http://schemas.openxmlformats.org/officeDocument/2006/relationships/hyperlink" Target="https://www.sec.gov/Archives/edgar/data/1611115/000119312525116907/d785770dex1013.htm" TargetMode="External"/><Relationship Id="rId44" Type="http://schemas.openxmlformats.org/officeDocument/2006/relationships/hyperlink" Target="https://www.sec.gov/Archives/edgar/data/1611115/000119312525116907/d785770dex1013.htm" TargetMode="External"/><Relationship Id="rId45" Type="http://schemas.openxmlformats.org/officeDocument/2006/relationships/hyperlink" Target="https://www.sec.gov/Archives/edgar/data/1611115/000119312525116907/d785770dex1014.htm" TargetMode="External"/><Relationship Id="rId46" Type="http://schemas.openxmlformats.org/officeDocument/2006/relationships/hyperlink" Target="https://www.sec.gov/Archives/edgar/data/1611115/000119312525116907/d785770dex1014.htm" TargetMode="External"/><Relationship Id="rId47" Type="http://schemas.openxmlformats.org/officeDocument/2006/relationships/hyperlink" Target="https://www.sec.gov/Archives/edgar/data/1611115/000119312525116907/d785770dex1014.htm" TargetMode="External"/><Relationship Id="rId48" Type="http://schemas.openxmlformats.org/officeDocument/2006/relationships/hyperlink" Target="https://www.sec.gov/Archives/edgar/data/1611115/000119312525116907/d785770dex1015.htm" TargetMode="External"/><Relationship Id="rId49" Type="http://schemas.openxmlformats.org/officeDocument/2006/relationships/hyperlink" Target="https://www.sec.gov/Archives/edgar/data/1611115/000119312525116907/d785770dex1015.htm" TargetMode="External"/><Relationship Id="rId50" Type="http://schemas.openxmlformats.org/officeDocument/2006/relationships/hyperlink" Target="https://www.sec.gov/Archives/edgar/data/1611115/000119312525116907/d785770dex1015.htm" TargetMode="External"/><Relationship Id="rId51" Type="http://schemas.openxmlformats.org/officeDocument/2006/relationships/hyperlink" Target="https://www.sec.gov/Archives/edgar/data/1611115/000119312525116907/d785770dex1015.htm" TargetMode="External"/><Relationship Id="rId52" Type="http://schemas.openxmlformats.org/officeDocument/2006/relationships/hyperlink" Target="https://www.sec.gov/Archives/edgar/data/1611115/000119312525116907/d785770dex1015.htm" TargetMode="External"/><Relationship Id="rId53" Type="http://schemas.openxmlformats.org/officeDocument/2006/relationships/image" Target="media/image2.jpeg"/><Relationship Id="rId54" Type="http://schemas.openxmlformats.org/officeDocument/2006/relationships/image" Target="media/image3.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96262</Words>
  <Characters>541180</Characters>
  <CharactersWithSpaces>634220</CharactersWithSpaces>
  <Paragraphs>4332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cignaevn-amend3tomsawith</dc:title>
</cp:coreProperties>
</file>