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Gracey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OMADA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 GATEWAY BLVD, SUITE 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Omada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OMDA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16,483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15,441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6.57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1,042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10/23/2034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32,292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March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25% of the shares subject to the option vest on the first anniversary measured from September 9, 2024 (the "Vesting Commencement Date"), and 1/48th of the total number of shares vest monthly thereafter, such that 100% of the shares subject to the option will be fully vested and exercisable on the fourth anniversary of the Vesting Commencement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Salha, as Attorney-in-Fact for Craig Gracey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21724" TargetMode="External"/><Relationship Id="rId5" Type="http://schemas.openxmlformats.org/officeDocument/2006/relationships/hyperlink" Target="http://www.sec.gov/cgi-bin/browse-edgar?action=getcompany&amp;CIK=0001611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676</Words>
  <Characters>3624</Characters>
  <CharactersWithSpaces>4211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